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un 2.4. apakšpunktā sniegto aprēķinu skaidrojumu, papildinot to ar pamatojumu aprēķinos izmantotajam laika patēriņam un citiem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un administratīvā sloga monetārajā novērtējumā vairākām prasībām izmantoti pieņēmumi par informācijas sniegšanai nepieciešamo laiku (0,20 stundas, 0,40 stundas un 0,50 stundas), tomēr anotācijā nav skaidrots, kā šīs vērtības noteiktas un kādas konkrētas darbības tajās ir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aprēķinu skaidrojuma sadaļā norādīt izmantoto pieņēmumu pamatojumu un informācijas avotus, piemēram, ekspertu vērtējumu, konsultācijas ar mērķa grupu, vēsturiskos datus vai citus objektīvus informācijas avotus, kā arī aprakstīt darbības, kuru izpildei aprēķinā paredzēts attiecīgais laika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aprēķinu skaidrojumā norādīto informāciju par subjektu skaitu, jo vairākos gadījumos tā neatbilst monetārā novērtējuma tabulās norādītajām vērtībām. Piemēram, projekta 16. punkta ietekmes novērtējumā tabulā norādīti 33 838 subjekti, savukārt aprēķina skaidrojumā minēts, ka aprēķins balstīts uz pieņēmumu par 100 subjektiem. Analoga neatbilstība konstatējama arī projekta 12. un 13. punkta ietekmes novērtējumā. Minētās pretrunas apgrūtina aprēķinu izsekojamību un pārbaudāmību.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sadaļā sniegto informāciju par projekta ietekmi uz Civilās aviācijas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apakšpunktā sniegtās informācijas izriet, ka projekts paplašina bezpilota lidaparātu jomas reģistrā iekļaujamās informācijas apjomu, paredz jaunu datu apstrādi, informācijas apmaiņu un reģistra funkcionalitātes pilnveidošanu. Līdz ar to nav pietiekami pamatots secinājums, ka projekta īstenošana neietekmē institūcijas funkcijas un uzdevumus, kā arī neparedz iekšējo procesu digitalizāciju vai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06.07.2026.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06.07.2026.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