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ietekmi uz klimata pārmaiņām - to izraisītām izmaiņām bioloģiskajā daudzveidībā, pārtikas pieejamībā, vides kvalitātē un cilvēku veselībā, lūdzu paredzēt Klimata likuma pēcpārbaudes (</w:t>
            </w:r>
            <w:r w:rsidR="00000000" w:rsidRPr="00000000" w:rsidDel="00000000">
              <w:rPr>
                <w:i w:val="1"/>
                <w:rtl w:val="0"/>
              </w:rPr>
              <w:t xml:space="preserve">ex-post</w:t>
            </w:r>
            <w:r w:rsidR="00000000" w:rsidRPr="00000000" w:rsidDel="00000000">
              <w:rPr>
                <w:rtl w:val="0"/>
              </w:rPr>
              <w:t xml:space="preserve">) izvērtēšanu, nosakot termiņu 2027. gadā vai vēlāk. Atbilstoši Ministru kabineta noteikumu Nr. 617 "Tiesību akta projekta sākotnējās ietekmes izvērtēšanas kārtība" 20. punktam, lūdzu šajā anotācijas sadaļā norādīt izvēlētā termiņa pamatojumu, kā arī Klimata likuma mērķi un potenciālos novērtēšanas rādītājus, kas tiks izmantoti pēcpārbaudes izvērtēšanā.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iekļaut sadaļu arī par Sociālā klimata fonda plāna sagatavošanu un par šī fonda turpmāko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nodaļa 2. pants. Likuma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definēt tiesības celt prasību likuma pārkāpuma gadījumā, apelācijas noteikumus, kā arī noteikt sankciju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un III nodaļas. Nepieciešams skaidri iezīmēt, kāds dokuments regulēs klimata politiku līdz 2029.g. un 2031.g., kad attiecīgi stāsies spēkā sadaļā minētie ilgtermiņa stratēģija un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nodaļas  12. panta 7.un 8.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noteiktos termiņus, jo abos gadījumos 15.aprīlis noteikts kā termiņš gan emisijas ziņojuma sagatavošanai un verificēšanai, gan tā iesniegšanai Valsts vides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 39. pants. Klimata finanšu instrumentu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veidot neatkarīgu zinātnieku padomi, kas arī sniegtu savu redzējumu.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5. 3.punktā ierosinām, kā sadarbības ministrija tiek iekļauta arī ZM, jo ZM būtu kompetence par pārtikas ražošanu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4.6. daļas 4. punkts (izvērtē īstenoto pasākumu efektivitāti) nav sasaistē ar 6. panta 4. daļā noteikto priekšlikumu izskatīšanu sektoru politiku plānošanas dokumentos (priekšlikumus par izmaksu efektīviem, ilgtspējīgiem un sociālekonomiski izvērtētiem, papildu pasākumiem siltumnīcefekta gāzu emisiju samazināšanas un zemes izmantošanas, zemes izmantošanas maiņas un mežsaimniecības sektora noteikto uzskaites kategoriju saistību izpildei, kā arī, ja nepieciešams, priekšlikumus par neefektīvu pasākumu realizācijas pārtraukšanu). Valsts kancelejas ieskatā ir nozīmīgi KEM priekšlikumus, kas ir datos balstīti, integrēt nozaru politikās efektīvākai klimata un enerģētikas mērķu sasniegšanai; attiecīgi lūdzam precizēt projekta 4. panta 6. daļu, ka koordinējošās ministrijas izvērtē īstenoto pasākumu efektivitāti un integrē 6. panta 4. daļā noteiktos priekšlikumus nozaru politikās, nodrošinot siltumnīcefekta gāzu emisiju samazināšanas un oglekļa dioksīda piesaistes sektorālo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 40. pants. Klimata finansējuma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Apsvērt iespēju izmantot kā piemēru novērtējuma ziņojumu pie valsts budžeta, uzskaitot budžeta resursus, kas piešķirti klimata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aprakstīts, kurā dokumentā un kad tiks atrunāti konkrēti pasākumi, kas mazinās klimata pārejas sociālo ietekmi (piemēram, Sociālā klimata fonda līdzekļu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6.1. punktā “Projekta izstrādē iesaistītās institūcijas“ norādīt projekta izstrādē iesaistītās nevalstiskās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tiesību akta projekta sākotnējās ietekmes novērtēšanai un novērtējuma ziņojuma sagatavošanai TAP portālā paredz, ka sadaļā 6.1. izvēlas no saraksta konkrētās valsts un pašvaldību institūcijas un nevalstiskās organizācijas, kuras bija iesaistītas tiesību akta projekta izstrādē. Ja valsts un pašvaldību institūciju sarakstā vai nevalstisko institūciju sarakstā nav atrodama kāda institūcija, to var ierakstīt logā “Citas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tiesību akta projekta sākotnējās ietekmes novērtēšanai un novērtējuma ziņojuma sagatavošanai TAP portālā pieejamas: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09.05.2024.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09.05.2024.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