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projekta dalībnieku un to biedru sarakstu, norādot nosaukumu, reģistrācijas numuru, ja tas tiek izmantots šo noteikumu </w:t>
            </w:r>
            <w:r w:rsidR="00000000" w:rsidRPr="00000000" w:rsidDel="00000000">
              <w:rPr>
                <w:rtl w:val="0"/>
              </w:rPr>
              <w:t xml:space="preserve">30.2.</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finanšu rādītāju pamatošanai.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terminoloģijā nomainot “projekta dalībnieku” uz “finansējuma saņēmēja dalībnieku”, jo uz projekta iesniegšanas bīdi projekta dalībnieki vēl nav zināmi.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finansējuma saņēmēja dalībnieku un to biedru sarakstu, norādot nosaukumu, reģistrācijas numuru, ja tas tiek izmantots šo noteikumu 30.2. un 30.3. apakšpunktā minēto finanšu rādītāju pamatošanai.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Otro avansa maksājumu finansējuma saņēmējs saņem ne vairāk kā 50 procentu apmērā pēc tam, kad pirmais avansa maksājums ieguldīts vismaz 80 procentu apmērā un ir sasniegts projekta ietvaros kopējais plānotais rādītājs. Ja finansējuma saņēmējs nav ieguldījis pirmo avansa maksājumu 100 procentu apmērā un otro avansa maksājumu vismaz 80 procentu apmērā, tad finansējuma saņēmējs īsteno projektu līdz otrais avansa maksājums ieguldīts vismaz 80 procentu apmērā, nodrošinot kopējā rādītāja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finansēšanas kārtību, kas paredz avansus.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projekta finansēšanas kārtību, kas jau tika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15.12.2023.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15.12.2023.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