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19. novembra noteikumos Nr. 726 "Eiropas Savienības kohēzijas politikas programmas 2021.–2027. gadam 2.3.1. specifiskā atbalsta mērķa "Veicināt ilgtspējīgu daudzveidu mobilitāti pilsētās" 2.3.1.2. pasākuma "Multimodāls sabiedriskā transporta tīkls"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27.15. ūdensapgādes, sadzīves kanalizācijas un notekūdeņu savākšanas un novadīšanas infrastruktūras ierīkošanas izmaksas sabiedriskā transporta savienojumu punktos, ievērojot šo noteikumu </w:t>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23.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23.</w:t>
            </w:r>
            <w:r w:rsidR="00000000" w:rsidRPr="00000000" w:rsidDel="00000000">
              <w:rPr>
                <w:vertAlign w:val="superscript"/>
                <w:rtl w:val="0"/>
              </w:rPr>
              <w:t xml:space="preserve">3</w:t>
            </w:r>
            <w:r w:rsidR="00000000" w:rsidRPr="00000000" w:rsidDel="00000000">
              <w:rPr>
                <w:rtl w:val="0"/>
              </w:rPr>
              <w:t xml:space="preserve"> punkta prasības, īsteno atbilstoši Eiropas Komisijas Lēmumā Nr. 2012/21/ES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ar kuru groza Ministru kabineta 2024. gada 19. novembra noteikumus Nr. 726 "Eiropas Savienības kohēzijas politikas programmas 2021.–2027. gadam 2.3.1. specifiskā atbalsta mērķa “Veicināt ilgtspējīgu daudzveidu mobilitāti pilsētās” 2.3.1.2. pasākuma “Multimodāls sabiedriskā transporta tīkls” īstenošanas noteikumi" (turpmāk – Noteikumi Nr. 726), ir ietvertas atsauces uz Eiropas Komisijas 2011. gada 20. decembra Lēmumu Nr. 2012/21/ES (turpmāk –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13. pants skaidri paredz, ka tas ir adresēts dalībvalstīm. Attiecīgi Lēmuma normas var būt tieši saistošas tikai valsts institūcijām, nevis privātpersonām (t.sk. juridiskajām). Ja Lēmuma normas jāpiemēro arī privātpersonām, tās ir jāpārņem nacionālajos normatīvajos aktos līdzīgi kā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punktā noteikts, ka noteiktas infrastruktūras izmaksas īstenojamas, ievērojot Lēmuma prasības, savukārt 19. punktā minēti finansējuma saņēmēji, tostarp pašvaldību kapitālsabiedrības – juridiskas personas. Tādējādi Lēmuma prasības tiek faktiski attiecinātas uz privātpersonām, nepārņemot tās nacionālajā tiesību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noteikumu projekta 16. un 18. punktā svītrot atsauces uz Lēmumu un attiecīgās Lēmuma normas, kuras nepieciešams padarīt saistošas juridiskajām personām, pārņemt (iestrādāt) noteikumu projektā līdzīgi kā Eiropas Savienības direktīvu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27.03.2025.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25-TA-77</w:t>
    </w:r>
    <w:r>
      <w:br/>
    </w:r>
    <w:r w:rsidR="00000000" w:rsidRPr="00000000" w:rsidDel="00000000">
      <w:rPr>
        <w:rtl w:val="0"/>
      </w:rPr>
      <w:t xml:space="preserve">Izdrukāts 27.03.2025.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Atzinumi_25-TA-77.docx</dc:title>
</cp:coreProperties>
</file>

<file path=docProps/custom.xml><?xml version="1.0" encoding="utf-8"?>
<Properties xmlns="http://schemas.openxmlformats.org/officeDocument/2006/custom-properties" xmlns:vt="http://schemas.openxmlformats.org/officeDocument/2006/docPropsVTypes"/>
</file>