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3. maija noteikumos Nr. 272 "Noteikumi par kompensāciju par vakcīnas pret Covid-19 infekciju blakusparādību izraisīto smagu vai vidēji smagu kaitējumu pacienta veselībai vai dzīvībai"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Tiesību akta projekta ietekme uz spēkā esošo tiesību normu sistēmu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ņemt vērā un aizpildīt anotācijas 4.sadaļu ar informāciju, ka Tieslietu ministrija ir izstrādājusi likumprojektu "Par Covid-19 infekcijas izplatības  pārvaldības likuma atzīšanu par spēku zaudējušu" (23-TA-1390). Tuvākajā laikā tas tiks izskatīts Ministru kabineta sēdē. Attiecīgā likumprojekta pārejas noteikums paredz, ka Covid-19 infekcijas izplatības  pārvaldības likuma  49.</w:t>
            </w:r>
            <w:r w:rsidR="00000000" w:rsidRPr="00000000" w:rsidDel="00000000">
              <w:rPr>
                <w:vertAlign w:val="superscript"/>
                <w:rtl w:val="0"/>
              </w:rPr>
              <w:t xml:space="preserve">7</w:t>
            </w:r>
            <w:r w:rsidR="00000000" w:rsidRPr="00000000" w:rsidDel="00000000">
              <w:rPr>
                <w:rtl w:val="0"/>
              </w:rPr>
              <w:t xml:space="preserve"> pants  ir piemērojams līdz 2023.gada 31.decembrim.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 (Ilze Brazauska (TM) vietā)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8.1.13. uz datu aizsardzību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8.1.13.apakšpunktu, jo ir sniegta informācija, ka projektam ir ietekme uz datu aizsardzību, bet apraksts nav sniegts.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 (Ilze Brazauska (TM)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23-TA-379</w:t>
    </w:r>
    <w:r>
      <w:br/>
    </w:r>
    <w:r w:rsidR="00000000" w:rsidRPr="00000000" w:rsidDel="00000000">
      <w:rPr>
        <w:rtl w:val="0"/>
      </w:rPr>
      <w:t xml:space="preserve">Izdrukāts 11.08.2023.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23-TA-379</w:t>
    </w:r>
    <w:r>
      <w:br/>
    </w:r>
    <w:r w:rsidR="00000000" w:rsidRPr="00000000" w:rsidDel="00000000">
      <w:rPr>
        <w:rtl w:val="0"/>
      </w:rPr>
      <w:t xml:space="preserve">Izdrukāts 11.08.2023.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