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25-TA-1583: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(Attēls projekta 24.punktam)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(Attēls projekta 28.punktam)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Personai, kura pārvietojas, izmantojot monoriteņus, skrituļslidas, skrituļdēļus u. tml. sporta vai atpūtas inventāru, kas darbināmi ar elektrisko piedziņu, jābūt apdrošinātai personas civiltiesiskai atbildībai pret zaudējumiem, kas nodarīti trešajām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2015. gada 2. jūnija noteikumos Nr. 279 "Ceļu satiksmes noteikumi"" (turpmāk – projekts) paredzētais Ministru kabineta 2015. gada 2. jūnija noteikumu Nr. 279 "Ceļu satiksmes noteikumi" (turpmāk – noteikumi) 8. punkts papildināts ar jaunu regulējumu, kas noteic, ka </w:t>
            </w:r>
            <w:r w:rsidR="00000000" w:rsidRPr="00000000" w:rsidDel="00000000">
              <w:rPr>
                <w:u w:val="single"/>
                <w:rtl w:val="0"/>
              </w:rPr>
              <w:t xml:space="preserve">personai, kura pārvietojas, izmantojot monoriteņus, skrituļslidas, skrituļdēļus u. tml. sporta vai atpūtas inventāru, kas darbināmi ar elektrisko piedziņu, jābūt apdrošinātai personas civiltiesiskai atbildībai pret zaudējumiem, kas nodarīti trešajām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ir norādīts tikai tas, ka </w:t>
            </w:r>
            <w:r w:rsidR="00000000" w:rsidRPr="00000000" w:rsidDel="00000000">
              <w:rPr>
                <w:u w:val="single"/>
                <w:rtl w:val="0"/>
              </w:rPr>
              <w:t xml:space="preserve">šobrīd nav paredzēta civiltiesiskās apdrošināšanas prasība šo sporta un atpūtas inventāra vadītājiem, kas rada finansiālu un drošības risku pārējiem satiksmes dalībniekiem, tādēļ tiek ieviesta prasība pēc civiltiesiskās apdrošināšanas, kas palielina atbildību un nodrošina atlīdzību negadījumu gadījumā, vienlaikus mazinot konfliktus ar citiem satiksmes dalībniekiem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anotācijas 1.3. apakšsadaļu ar izvērstu pamatojumu (t.sk., samērīguma izvērtējumu) par projektā paredzētajā noteikumu 8. punktā ietverto regulējumu. Turklāt lūdzam norādīt, kā tiks īstenots projektā paredzētais apdrošināšanas pienākums, ja, piemēram, persona, kas pārvietosies ar skrituļslidām, būs nepilngadīga, kā tiks veikta apdrošināšanas pienākuma izpildes uzraudzība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arī projektā paredzētajā noteikumu 8.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Noteikumu 44.1.apakšpunktu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ar luksoforiem (1. pielikums), kuriem ir zaļas, dzeltenas, sarkanas un baltas gaismas signāli. Luksoforus izgatavo un uzstāda atbilstoši nozares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ar informāciju, kas ir projektā paredzētajā noteikumu 44.1. apakšpunktā minētie </w:t>
            </w:r>
            <w:r w:rsidR="00000000" w:rsidRPr="00000000" w:rsidDel="00000000">
              <w:rPr>
                <w:u w:val="single"/>
                <w:rtl w:val="0"/>
              </w:rPr>
              <w:t xml:space="preserve">nozares standarti</w:t>
            </w:r>
            <w:r w:rsidR="00000000" w:rsidRPr="00000000" w:rsidDel="00000000">
              <w:rPr>
                <w:rtl w:val="0"/>
              </w:rPr>
              <w:t xml:space="preserve"> (proti, vai atbilstoši Standartizācijas likumā noteiktajam tie ir brīvprātīgi vai obligāti piemērojami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98.punkta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 vai pasažieri ir personas ar invaliditāti un kuriem ir speciāla pašvaldības izsniegta atļauja, kā arī specializētos tūristu transportlīdzekļus (izņemot pa ietvēm).”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svītrot noteikumu 8. punkta otro un trešo teikumu, kas cita starpā noteic pašvaldību tiesības pieņemt attiecīgus lēmumus, bet anotācijā nav informācijas, kādēļ šis regulējums nav nepieciešams, lūdzam papildināt anotācijas 1.3. apakšsadaļu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98.punkta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 vai pasažieri ir personas ar invaliditāti un kuriem ir speciāla pašvaldības izsniegta atļauja, kā arī specializētos tūristu transportlīdzekļus (izņemot pa ietvēm).”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noteikumu 98. punkts noteic, ka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 vai pasažieri ir personas ar invaliditāti un </w:t>
            </w:r>
            <w:r w:rsidR="00000000" w:rsidRPr="00000000" w:rsidDel="00000000">
              <w:rPr>
                <w:u w:val="single"/>
                <w:rtl w:val="0"/>
              </w:rPr>
              <w:t xml:space="preserve">kuriem ir speciāla pašvaldības izsniegta atļauja</w:t>
            </w:r>
            <w:r w:rsidR="00000000" w:rsidRPr="00000000" w:rsidDel="00000000">
              <w:rPr>
                <w:rtl w:val="0"/>
              </w:rPr>
              <w:t xml:space="preserve">, kā arī specializētos tūristu transportlīdzekļus (izņemot pa ietvēm).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w:t>
            </w:r>
            <w:r w:rsidR="00000000" w:rsidRPr="00000000" w:rsidDel="00000000">
              <w:rPr>
                <w:u w:val="single"/>
                <w:rtl w:val="0"/>
              </w:rPr>
              <w:t xml:space="preserve">Ceļu satiksmes likumā jānosaka deleģējums pašvaldībām izsniegt īpašas atļaujas personām ar invaliditāti un kustību traucējumiem un personām ar I grupas redzes invaliditāti, kam ir piešķirta invalīdu stāvvietu izmantošanas karte</w:t>
            </w:r>
            <w:r w:rsidR="00000000" w:rsidRPr="00000000" w:rsidDel="00000000">
              <w:rPr>
                <w:rtl w:val="0"/>
              </w:rPr>
              <w:t xml:space="preserve">. Turklāt norādīts, ka noteikumu 98. punktā tiek veikti grozījumi, kas dos vairākas būtiskas priekšrocības iedzīvotājiem. Pirmkārt, </w:t>
            </w:r>
            <w:r w:rsidR="00000000" w:rsidRPr="00000000" w:rsidDel="00000000">
              <w:rPr>
                <w:u w:val="single"/>
                <w:rtl w:val="0"/>
              </w:rPr>
              <w:t xml:space="preserve">pašvaldību tiesības izsniegt īpašās atļaujas nodrošinās ātrāku un lokāli pielāgotu pakalpojumu, kas atbilst konkrētās vietas īpatnībām un iedzīvotāju vajadzībām</w:t>
            </w:r>
            <w:r w:rsidR="00000000" w:rsidRPr="00000000" w:rsidDel="00000000">
              <w:rPr>
                <w:rtl w:val="0"/>
              </w:rPr>
              <w:t xml:space="preserve">. Tas nozīmē, ka personas ar invaliditāti saņems ērtāku un efektīvāku piekļuvi, uzlabojot viņu ikdienas mobilitāti un dzīves kvalitāti. Otrkārt, šāda pieeja veicina vides pieejamības uzlabošanu pilsētvidē kopumā, padarot pilsētas telpu draudzīgāku visiem iedzīvotājiem, īpaši tiem ar kustību ierobežojumiem. Tāpat pašvaldību tuvums iedzīvotājiem ļauj nodrošināt labāku komunikāciju un atbalstu, kā arī ātrāku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informācijas par to, vai ir izstrādāti grozījumi Ceļu satiksmes likumā, nosakot attiecīgu pilnvarojumu pašvaldības domēm izdot pašvaldību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w:t>
            </w:r>
            <w:r w:rsidR="00000000" w:rsidRPr="00000000" w:rsidDel="00000000">
              <w:rPr>
                <w:u w:val="single"/>
                <w:rtl w:val="0"/>
              </w:rPr>
              <w:t xml:space="preserve">projektā paredzētais regulējums, proti, grozījumi noteikumu 98. punktā, nevar stāties spēkā pirms nav pieņemti attiecīgie grozījumi Ceļu satiksmes likumā un izdoti pašvaldību saistošie noteikumi. Attiecīgajiem pašvaldību saistošajiem noteikumiem, kā arī grozījumiem noteikumos un Ceļu satiksmes likumā būtu jāstājas spēkā vienlaikus, bet ne no projektā paredzētā regulējuma, ne no anotācijā ietvertās informācijas tas neizriet</w:t>
            </w:r>
            <w:r w:rsidR="00000000" w:rsidRPr="00000000" w:rsidDel="00000000">
              <w:rPr>
                <w:rtl w:val="0"/>
              </w:rPr>
              <w:t xml:space="preserve">. Ievērojot minēto, lūdzam izvērtēt projektā paredzētajā noteikumu 98. punktā noteikto un precizēt to,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25-TA-1583</w:t>
    </w:r>
    <w:r>
      <w:br/>
    </w:r>
    <w:r w:rsidR="00000000" w:rsidRPr="00000000" w:rsidDel="00000000">
      <w:rPr>
        <w:rtl w:val="0"/>
      </w:rPr>
      <w:t xml:space="preserve">Izdrukāts 17.09.2025.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25-TA-1583</w:t>
    </w:r>
    <w:r>
      <w:br/>
    </w:r>
    <w:r w:rsidR="00000000" w:rsidRPr="00000000" w:rsidDel="00000000">
      <w:rPr>
        <w:rtl w:val="0"/>
      </w:rPr>
      <w:t xml:space="preserve">Izdrukāts 17.09.2025.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Atzinumi_25-TA-1583.docx</dc:title>
</cp:coreProperties>
</file>

<file path=docProps/custom.xml><?xml version="1.0" encoding="utf-8"?>
<Properties xmlns="http://schemas.openxmlformats.org/officeDocument/2006/custom-properties" xmlns:vt="http://schemas.openxmlformats.org/officeDocument/2006/docPropsVTypes"/>
</file>