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25-TA-2969: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Ēku energoefektivitātes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īpašumā esošo ēku atjaunošanas apjomu nosaka un tā izpildi nodrošina ministrijas vai pašvaldības līmenī, ņemot vērā attiecīgās ministrijas vai pašvaldības, kā arī to pakļautībā vai pārraudzībā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Katru gadu atjauno vismaz trīs procentus no attiecīgās ministrijas vai pašvaldības līmenī noteiktās publiskā sektora subjektu īpašumā esošo ēku kopējās platības, lai tās pēc atjaunošanas atbilstu vismaz gandrīz nulles enerģijas ēkas prasībām. Kopējā platībā ieskaita ēkas, kuru platība pārsniedz 250 kvadrātmetrus un kuras 2024. gada 1. janvārī neatbilda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Ēku ieskaita attiecīgās ministrijas vai pašvaldības līmenī noteiktajā publiskā sektora subjektu īpašumā esošo ēku kopējā platībā arī tad, ja šo ēku tehniski, ekonomiski vai funkcionāli nav iespējams atjaunot tā, lai tā pēc atjaunošanas atbilstu vismaz gandrīz nulles enerģijas ēkas prasībām, izņemot ja uz to attiecas šajā likumā noteiktie izņēmumi.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attiecīgajā gadā ministrijas vai pašvaldības līmenī atjaunotā publiskā sektora subjektu īpašumā esošo ēku kopējā platība pārsniedz šā panta otrajā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Būvniecības valsts kontroles birojs izveido, uztur, ne retāk kā reizi divos gados aktualizē un savā tīmekļvietnē publicē publiskā sektora subjektu īpašumā esošo ēku sarakstu. Sarakstā iekļauj ēkas, kuru kopējā platība pārsniedz 250 kvadrātmetrus, norādot vismaz ēkas kopējo platību, gada enerģijas patēriņu un energosnieguma sertifikātā norādīto ēkas energosnieguma klasi.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Publiskā sektora subjekti sniedz Būvniecības valsts kontroles birojam šā panta astotajā daļā minētā saraksta izveidei, uzturēšanai un aktualizēšanai, kā arī šā panta otrajā daļā noteiktā ikgadējā atjaunošanas apjoma izpildes uzraudzībai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iepriekš izteikto  iebildumu , jo normatīvā aktā  saglabāta obligātā publisko ēku atjaunošanas norma bez atbilstoša finansējuma nodrošinājuma.Šo noteikumu 3 prim  (2) daļa -  ikgadējās renovācijas prasība 3 % apjoma  daudzām pašvaldībām faktiski nav izpildāma.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nav paredzēts valsts finansējums, lai nodrošinātu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05.06.2026. 11.33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05.06.2026. 11.33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Atzinumi_25-TA-2969.docx</dc:title>
</cp:coreProperties>
</file>

<file path=docProps/custom.xml><?xml version="1.0" encoding="utf-8"?>
<Properties xmlns="http://schemas.openxmlformats.org/officeDocument/2006/custom-properties" xmlns:vt="http://schemas.openxmlformats.org/officeDocument/2006/docPropsVTypes"/>
</file>