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EKII finansējuma izlietošanu saskaņā ar EKII ieņēmumu izmantošanas stratēģiju, kā arī nepieciešamo finansējumu, ja 2026./2027. gada apkures sezonā saistībā ar Tuvo Austrumu krīzi iestājas ārkārtējs energoresursu cenu pieaugums, Finanšu ministrija uztur iepriekš pausto iebildumu, ka turpmāka EKII finansējuma izlietošana jāveic pēc EKII ieņēmumu izmantošanas stratēģijas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vairāki MK protokollēmumi, kā arī Klimatnoturības un ekonomiskās ilgtspējas likums paredzēja iepriekš minētās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noteikumu projekta 16. punkta un 18. punkta secināms, ka noteikumu projekta ietvaros sadarbības partneri var gan tādi subjekti, kas veic deleģētus pārvaldes uzdevumus, kas nav saistīti ar saimniecisko darbību Komisijas paziņojums par Līguma par Eiropas Savienības darbību 107. panta 1. punktā minēto valsts atbalsta jēdzienu (2016/C 262/01) 17. punkta izpratnē, gan tādi, kas veic deleģētus pārvaldes uzdevumus, kas ir saistīti ar saimniecisko darbību un kuriem komercdarbības atbalstu plānots piešķirt saskaņā ar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Komisijas lēmums Nr. 2025/2630), lūdzam precizēt noteikumu projekta 18. punktu, skaidri nodalot prasības kas attiecas uz sadarbības partneriem, kas ir un kas nav komercdarbības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noteikumu projekta 18.punktā nav ietvertas visas prasības, kas izriet no Komisijas lēmums Nr. 2025/2630 4.punkta a), b) un c) apakšpunkta ir iekļautas šādas prasības, lūdzam atbilstoši papildināt 18.punktu ar minētajā prasībām. Šajā saistībā aicinām skatīt Ministru kabineta 2022.gada 30.augusta noteikumu Nr.543 "Eiropas Savienības Atveseļošanas un noturības mehānisma plāna 3.1. reformu un investīciju virziena "Reģionālā politika" 3.1.1.3.i. investīcijas "Investīcijas publiskajā infrastruktūrā industriālo parku attīstīšanai reģionos" īstenošanas noteikumi" 54.4.punktu (izņemot 54.4.2.apakšpunktu).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ir pasludināts projekta iesniedzēja vai sadarbības partnera maksātnespējas process, ierosināta tiesiskās aizsardzības procesa lieta vai tiek īstenots tiesiskās aizsardzības process, apturēta vai pārtraukta projekta iesniedzēja vai sadarbības partnera saimnieciskā darbība vai projekta iesniedzējs vai sadarbības partneris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19.2.apakšpunkta redakciju, ņemot vērā, ka projekta iesniedzējs ir pašvaldība un uz pašvaldībām nav attiecināms maksātnespējas process, tiesiskās aizsardzības process, saimnieciskās darbības apturēšana vai pārtraukšanai vai likvidācija, vienlaikus vēršam uzmanību, ka minētais regulējums nav attiecināms arī uz pašvaldībām kā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atbilstoši normatīvajiem aktiem par budžetu un finanšu vadību pašvaldībā ir uzsākts finanšu stabilizācijas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19.7.apakšpunksts paredz, ka projekta iesniedzējs nevar pretendēt uz finanšu instrumenta finansējuma saņemšanu konkursa ietvaros, ja atbilstoši normatīvajiem aktiem par budžetu un finanšu vadību pašvaldībā ir uzsākts finanšu stabilizācijas process. Norādām, ka Ministru kabineta 2025.gada 18.marta noteikumi Nr.161 “Noteikumi par pašvaldību finanšu stabilizācijas procesa uzsākšanu, uzraudzību un izbeigšanu” paredz, ka pašvaldībai finanšu stabilizācijas procesa laikā ir tiesības īstenot un saņemt jaunus aizņēmumus emisijas kvotu izsoļu ieņēmumu instrumentu līdzfinansēto projektu īstenošanai, ievērojot likumā par valsts budžetu kārtējam gadam un vidēja termiņa budžeta ietvaru noteiktos pašvaldību aizņēmumu un galvojumu nosacījumus. Līdz ar to lūdzam šo apakšpunktu papildināt šādā redakcijā: “un nav saņemts Pašvaldību finanšu stabilizācijas pastāvīgās komisijas saskaņojums par projekta īstenošanu” un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22. un 24.punkta nav viennozīmīgi skaidrs kādas no noteikumu projektā minētajām atbalstāmajām darbībām būtu tādas, kas sniegtu ekonomiskās priekšrocības sadarbības partnerim tā saimnieciskās darbības veikšanai, lai attiecībā uz to piemērotu VTNP regulējumu. Ievērojot minēto, lūdzam precizēt noteikumu projektu papildinot to ar normu, kas skaidri noteiktu, kuras no 24.punktā uzskaitītajām attiecināmajām izmaksām ir saistītas ar vispārējās nozīmes tautsaimniecības pakalpojumu sniegšanu un atbalstu kurām piešķir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ir noteikts, ka konkursa ietvaros ir atbalstāma šāda aktivitāte - plūdu risku mazināšanas un novēršanas, kā arī noturības pret plūdiem veicināšanas infrastruktūras izbūve, pārbūve un atjaunošana. Noteikumu 24.punkts nosaka minētajai aktivitātei noteiktās attiecināmās izmaksas, kurā nolikuma projekta 24.9.apakšpunktā kā attiecināmā izmaksa ir noteikta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kompensācija par sabiedriskajiem pakalpojumiem saskaņā ar Lēmumu, kas noteikta noteikumu projekta 24.9.apakšpunktā, pati par sevi nav uzskatāma projekta izmaksas pozīciju. Par projekta izmaksām šajā gadījumā var būt konkrētas izmaksu pozīcijas, kuras varētu tikt kompensētas sadarbības partnerim kā kompensācija par sabiedriskā pakalpojuma sniegšanu. Ņemot vērā minēto, lūdzam precizēt noteikumu projekta 24.punktu, dzēšot nolikuma projekta 24.9.apakšpunktu vienlaikus skaidri nosakot kādas no nolikuma projekta 24.punktā uzskaitītajām attiecināmajām izmaksām būtu attiecināmas uz sadarbības partneri, kas sniedz vispārējās tautsaimniecības nozīmes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plūdu izraisīto seku novēršanas un noturības pret plūdiem veicināšanai paredzētu iekārtu, tehnikas un tehnoloģiju iegādes, uzstādīšanas un nodošana ekspluatācijā izmaksas. Iekārtu, tehnikas un tehnoloģiju iegāde ir atbalstāma arī finanšu līzinga veidā, ja līzinga objekts pēc visu līzinga saistību izpildes pāriet finansējuma saņēmēja vai sadarbības partnera īpašumā un  izmaksas atbilst šo noteikumu </w:t>
            </w:r>
            <w:r w:rsidR="00000000" w:rsidRPr="00000000" w:rsidDel="00000000">
              <w:rPr>
                <w:rtl w:val="0"/>
              </w:rPr>
              <w:t xml:space="preserve">30.</w:t>
            </w:r>
            <w:r w:rsidR="00000000" w:rsidRPr="00000000" w:rsidDel="00000000">
              <w:rPr>
                <w:rtl w:val="0"/>
              </w:rPr>
              <w:t xml:space="preserve"> punktā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25.1.apakšpunktā minēto, ka iekārtu, tehnikas un tehnoloģiju iegāde ir atbalstāma arī finanšu līzinga veidā, vēršam uzmanību, ka pašvaldībām, atbilstoši likuma “Par pašvaldību budžetiem” 22.pantam, nav tiesību uzņemties ilgtermiņa saistības, izņemot gadskārtējā valsts budžeta likumā noteiktos izņēmuma gadījumus (likuma “Par valsts budžetu 2026. gadam un budžeta ietvaru 2026., 2027. un 2028. gadam” 40.panta septītā daļa). Līdz ar to normatīvie akti neparedz pašvaldībām tiesības slēgt līgumus, kuros kā finansēšanas modelis paredzēts finanšu līzings, ar samaksu ilgāk kā 12 mēneši no līguma noslēgšanas brīža. Līdz ar to attiecīgi lūdzam precizēt 25.1.apakšpunkta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iesnieguma vērtēšana un lēmuma pieņemšana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nosacījuma, ka KEM pamato attiecībā uz ko būtu piemērojam VTNP regulējums, Finanšu ministrija uztur izziņas 39.punktā izteikto iebildumu un atkārtoti lūdzam papildināt noteikumu projektu ar normu, kas nosaka subjektu (atbalsta sniedzēju), kas nodrošinās sadarbības partnera atbilstības pārbaudi Komisijas 2025. gada 16. decembra lēmuma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nosacījumiem uz atbalsta piešķiršanas brīdi un pieņems lēmumu par finansējuma piešķiršanu sadarbības partnerim, kas saskaņā ar noteikumu projekta 18. un 34. punktu sniedz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lūdzam norādīt finansiālo ietekmi uz pašvaldību budžetiem 2027.gadā, ņemot vērā, ka EKII finansējums 2027.gadam tiek paredzēts, savukārt pašvaldību līdzfinansējums tiek norādīts sākot ar 2028.gadu, vai arī ņemot vērā minēto, anotācijas 6.punktā lūdzam sniegt skaidrojumu par pašvaldību budžeta līdzfinansējuma apmēru sadalījumā pa gadiem. Vienlaikus anotācijas 3.sadaļas ailē “2029.gada izmaiņas salīdzinot ar vidēja termiņa budžeta ietvaru” lūdzam matemātiski precizēt 2. , 3. punktā un to apakšpunktos, kā arī 5.punktā norādīto finansiālo ietekmi, savukārt anotācijas 3.sadaļas 6.punktā lūdzam precizēt tabulā norādīto kopējo finansiālo ietekmi 2028.gadā un 2029.gadā. Papildus lūdzam redakcionāli precizēt anotācijas 3.sadaļas 6.punktā pirmo teikumu, norādot, ka 7 058 824 </w:t>
            </w:r>
            <w:r w:rsidR="00000000" w:rsidRPr="00000000" w:rsidDel="00000000">
              <w:rPr>
                <w:i w:val="1"/>
                <w:rtl w:val="0"/>
              </w:rPr>
              <w:t xml:space="preserve">euro</w:t>
            </w:r>
            <w:r w:rsidR="00000000" w:rsidRPr="00000000" w:rsidDel="00000000">
              <w:rPr>
                <w:rtl w:val="0"/>
              </w:rPr>
              <w:t xml:space="preserve"> ir pašvaldību līdzfinansējuma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izvērtēt, vai pie kvalitātes vērtēšanas kritērijiem nav nepieciešams izmantot jau esošus rīkus, lai atbalstu primāri saņemtu apvidi ar augstāku plūdu risku. Piemēram, anotācijā minēto LVĢMC rīku vai Klimata un enerģētikas ministrijas mājaslapā pieejamo informāciju par plūdu riska novērtējums, kurā ir identificētas teritorijas ar nozīmīgu plūdu risku, pieejams: https://www.kem.gov.lv/lv/pludu-risku-parvaldiba#:~:text=Saska%C5%86%C4%81%20ar%20aktu%C4%81lo%20S%C4%81kotn%C4%93jo%20pl%C5%ABdu%20riska%20nov%C4%93rt%C4%93jumu%202025.,ir%20identific%C4%93tas%2035%20nacion%C4%81las%20noz%C4%ABmes%20pl%C5%ABdu%20riska%20teritorijas.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kritērijs "Projekta teritoriālais tvērums (attiecas uz šo noteikumu 22.1. apakšpunktā minēto aktivitāti)", taču nav skaidrs, kas tiek apzīmēts ar "administratīvās daļas (rajoni), kurās ir identificēts plūdu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izvērtēt, vai pie kritērija "Projekta īstenošanas vietas iedzīvotāju tvērums" nebūtu labāk izmantot iedzīvotāju skaitu absolūtos skaitļos nevis relatīvo. 10% no 10 000 iedzīvotājiem ir mazāk nekā 1% no 150 000 iedzīvotājiem. Līdz ar to var būt gadījumi, kad projekts ar pozitīvo ietekmi uz lielāku iedzīvotāju skaitu saņem mazāk punktus nekā projekts ar ietekmi uz mazāku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vērtēšanā tiks ņemti vērā riska iestāšanās varbūtība (1. punkts) un riska potenciālā ietekme (2. punkts), kurš ir populārs paņēmiens risku vērtēšanā, vienlaicīgi nodrošinot šiem kritērijiem vērā ņemamu "svaru" no kopējā rezultāta, paaugstināsies varbūtība, ka publiskie resursi tiks izmantoti pēc iespējas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par demarkāciju, lūdzam papildināt anotācijas sadaļu, kurā aprakstīta demarkācija, ar demarkācijas nodrošināšanu arī ar Ministru kabineta 2024. gada 30. aprīļa noteikumiem Nr. 274 "Eiropas Savienības kohēzijas politikas programmas 2021. – 2027. gadam 2.1.3. specifiskā atbalsta mērķa "Veicināt pielāgošanos klimata pārmaiņām, risku novēršanu un noturību pret katastrofām" 2.1.3.2. pasākuma "Nacionālas nozīmes plūdu un krasta erozijas pasākumi" (turpmāk - 2.1.3.2.pasākums) projektu iesniegumu otrās atlases kārtas īstenošanas noteikumi un Ministru kabineta 2023. gada 27. jūnija noteikumiem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noteikumiem, jo demarkācija ar 2.1.3.2.pasākumu nav norādīta, lai gan izziņas 113.punkta norādīts, ka ir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 (Evita Bāliņa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noteikumu projekta anotācijas 1.3. sadaļā (24. lpp.) sniegtajā informācijā, skaidri pasakot, vai šo noteikumu projekta ietvaros paredzamās projektu aktivitātes ir saistītas vienīgi ar publiskās infrastruktūras nodrošināšanu un tādējādi netiek radīta ekonomiskā priekšrocība kādiem konkrētiem uzņēmumiem vai tomēr ir paredzēti pasākumi, kas ir saistīti ar mērķorientētas infrastruktūras izbūvi un šādā gadījumā noteikumu projekts būtu papildināms ar piemērojamajiem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un 2028. gadam ailē “izmaiņas, salīdzinot ar vidēja termiņa budžeta ietvaru” dzēst 5.1. apakšpunktā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- 2029. gadam ailē “izmaiņas, salīdzinot ar vidēja termiņa budžeta ietvaru” precizēt 2.3. apakšpunktā norādīto pašvaldības līdzfinansējumu norādot to 3 529 412  euro apmērā un dzēst 5.1. apakšpunktā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punkta tabulā precizēt finansējuma kopsummas rindā “Kopā” 2028. un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dzēst pirmo un otro rindkopu, jo visa nepieciešamā informācija jau ir norādīta trešajā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