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2006. gada 12. decembra noteikumos Nr. 994 "Kārtība, kādā augstskolas un koledžas tiek finansētas no valsts budžeta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absolventu svēršanai izmantot KPMG Baltic aktualizētos studiju izmaksu koeficientus, nevis pašreizējos MK noteikumos Nr.994 minētos koeficientus, jo vairākām tautsaimniecībā būtiskām jomām KPMG Baltic rekomendē koeficientus paaugstināt.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aprēķinot darba tirgus pieprasījuma koeficientu (DTPK), aicinām izmantot Ekonomikas ministrijas darba tirgus vidējā termiņa prognozes, nevis prognozes par vēlāko pieejamo gadu (ilgtermiņa prognozes). Absolventi iekļaujas darba tirgū, kāds tas ir šobrīd, un aizpildīs vakances, kas ir aktuālas šobrīd un tuvākajā nākotnē, nevis pēc 20 gadiem. Tāpat arī ilgtermiņa prognozes var būt mazāk precīzas.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04.09.2023.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04.09.2023.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Atzinumi_23-TA-1760.docx</dc:title>
</cp:coreProperties>
</file>

<file path=docProps/custom.xml><?xml version="1.0" encoding="utf-8"?>
<Properties xmlns="http://schemas.openxmlformats.org/officeDocument/2006/custom-properties" xmlns:vt="http://schemas.openxmlformats.org/officeDocument/2006/docPropsVTypes"/>
</file>