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23-TA-1852: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Enerģētikas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(Pētījumi (Deloitte un Civitta))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(Prezentācija uz MK 13.07.2023. sēdi par KZ)</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72. un 72.</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Padomes 2009.gada 14.septembra direktīvas 2009/119/EK, ar ko dalībvalstīm uzliek pienākumu uzturēt jēlnaftas un/vai naftas produktu obligātas rezerves, izpratnē centrālās krājuma uzturēšanas struktūras uzdevumus pilda sabiedrība ar ierobežotu atbildību “Publisko aktīvu pārvaldītājs Possessor” (turpmāk – pārvaldnieks).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Pārvaldnieka uzdevumi ir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iegādāties drošības rezerves;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nodrošināt drošības rezervju uzturēšanu un rotāciju;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administrēt drošības rezervju pakalpojuma 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kabinets nosaka drošības rezerves apmēru un kārtību, kādā pārvaldnieks iegādājas, uztur un veic rotāciju drošības rezervēm.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r w:rsidR="00000000" w:rsidRPr="00000000" w:rsidDel="00000000">
              <w:rPr>
                <w:vertAlign w:val="superscript"/>
                <w:rtl w:val="0"/>
              </w:rPr>
              <w:t xml:space="preserve">1</w:t>
            </w:r>
            <w:r w:rsidR="00000000" w:rsidRPr="00000000" w:rsidDel="00000000">
              <w:rPr>
                <w:rtl w:val="0"/>
              </w:rPr>
              <w:t xml:space="preserve">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drošības rezervju izveidi un uzturēšanu maksājama drošības rezervju pakalpojuma 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Drošības rezervju pakalpojuma maksu par Latvijas Republikas teritorijā brīvā apgrozījumā izlaisto, realizēto un patērēto I, II un III kategorijas naftas produktu tonnu maksā šādi komersanti: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komersanti, kas saņēmuši speciālu atļauju (licenci) apstiprinātā akcīzes preču noliktavas turētāja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komersanti, kas saņēmuši speciālu atļauju (licenci) reģistrēta saņēmēja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komersanti, kas saņēmuši speciālu atļauju (licenci) degvielas vairumtirdzniecībai;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komersanti, kas saņēmuši speciālu atļauju (licenci) degvielas mazumtirdzniecībai;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komersanti, kuri naftas produktus ieved no Eiropas Savienības dalībvalstīm vai trešajām valstīm Latvijas Republikā savam patēriņam.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Pārvaldnieks uztur drošības rezervju uzkrāšanas fondu, kurā ieskaita: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drošības rezervju pakalpojuma 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ieņēmumus no drošības rezervju atsavināšanas.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Drošības rezervju uzkrāšanas fondā uzkrātie līdzekļi tiek izmantoti, lai segtu šā likuma 72.panta otrajā daļā noteikto pārvaldnieka uzdevumu izpildes izmaksas un saistītos administratīvos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Ministru kabinets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drošības rezervju pakalpojuma maksas apmēru, aprēķināšanas, maksāšanas un administrēšanas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kārtību, kādā tiek administrēts drošības rezervju uzkrāšanas fonds un segti pārvaldnieka izdevumi."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 par likumprojekta 2.pantā izteiktā 72.panta pirmo daļu un lūdzam svītrot atsauci uz direktīvu, savukārt attiecīgās direktīvas normas nacionālajā normatīvajā aktā pārņemt pēc būtības, nevis ar atsauci uz direktīvā ietvertiem terminiem vai definīcijām. Likumprojektā piedāvātā redakcija pēc būtības piedāvā direktīvas normas tiešu piemērošanu, un tas neatbilst Līguma par Eiropas Savienības darbību 288. pantā noteiktajām dalībvalstu saistībām direktīvu pārņemšanā. Nepiekrītam izziņā paustajam skaidrojumam, ka piedāvātā redakcija atbilst līdzšinējai normatīvo aktu izstrādāšanas praksei (sk., piemēram, Enerģētikas likuma spēkā esošo 72.</w:t>
            </w:r>
            <w:r w:rsidR="00000000" w:rsidRPr="00000000" w:rsidDel="00000000">
              <w:rPr>
                <w:vertAlign w:val="superscript"/>
                <w:rtl w:val="0"/>
              </w:rPr>
              <w:t xml:space="preserve">1 </w:t>
            </w:r>
            <w:r w:rsidR="00000000" w:rsidRPr="00000000" w:rsidDel="00000000">
              <w:rPr>
                <w:rtl w:val="0"/>
              </w:rPr>
              <w:t xml:space="preserve">panta redakciju). Atsauces uz Eiropas Savienības direktīvām Latvijas normatīvajos aktos pieļaujamas atsevišķos īpašos izņēmuma gadījumos, turklāt šādu izņēmumu pastāvēšana nerada pamatu vispārējo direktīvu pārņemšanas principu maiņai. Vēršam uzmanību arī uz to, ka izziņā minētajā piemērā - Fizisko personu datu apstrādes likumā - nav ietvertas atsauces uz direktīvu definīcijām vai normām, </w:t>
            </w:r>
            <w:r w:rsidR="00000000" w:rsidRPr="00000000" w:rsidDel="00000000">
              <w:rPr>
                <w:u w:val="single"/>
                <w:rtl w:val="0"/>
              </w:rPr>
              <w:t xml:space="preserve">kas būtu tieši jāpiemēro</w:t>
            </w:r>
            <w:r w:rsidR="00000000" w:rsidRPr="00000000" w:rsidDel="00000000">
              <w:rPr>
                <w:rtl w:val="0"/>
              </w:rPr>
              <w:t xml:space="preserve">. Minētā likuma 34. pantā un Pārejas noteikumos direktīvas nosaukums norādīts, lai identificētu nacionālo </w:t>
            </w:r>
            <w:r w:rsidR="00000000" w:rsidRPr="00000000" w:rsidDel="00000000">
              <w:rPr>
                <w:u w:val="single"/>
                <w:rtl w:val="0"/>
              </w:rPr>
              <w:t xml:space="preserve">normatīvo aktu jomu</w:t>
            </w:r>
            <w:r w:rsidR="00000000" w:rsidRPr="00000000" w:rsidDel="00000000">
              <w:rPr>
                <w:rtl w:val="0"/>
              </w:rPr>
              <w:t xml:space="preserve"> (t.i., </w:t>
            </w:r>
            <w:r w:rsidR="00000000" w:rsidRPr="00000000" w:rsidDel="00000000">
              <w:rPr>
                <w:u w:val="single"/>
                <w:rtl w:val="0"/>
              </w:rPr>
              <w:t xml:space="preserve">nacionālos normatīvos aktus</w:t>
            </w:r>
            <w:r w:rsidR="00000000" w:rsidRPr="00000000" w:rsidDel="00000000">
              <w:rPr>
                <w:rtl w:val="0"/>
              </w:rPr>
              <w:t xml:space="preserve">, kuros pārņemta direktīva) līdz brīdim, kamēr attiecīgais normatīvais akts stājas spēkā. Savukārt Dzīvnieku barības aprites likumā atsauču uz direktīvām nav, izņemot informatīvo atsauci.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atkārtoti lūdzam precizēt likumprojekta 2.pantā izteiktā 72.panta pirmo daļu, piemēram, izsakot to šādi: "Centrālās krājumu uzturēšanas struktūras uzdevumus pilda sabiedrība ar ierobežotu atbildību “Publisko aktīvu pārvaldītājs Possessor” (turpmāk – pārvaldnieks)".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23-TA-1852</w:t>
    </w:r>
    <w:r>
      <w:br/>
    </w:r>
    <w:r w:rsidR="00000000" w:rsidRPr="00000000" w:rsidDel="00000000">
      <w:rPr>
        <w:rtl w:val="0"/>
      </w:rPr>
      <w:t xml:space="preserve">Izdrukāts 28.09.2023. 20.01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23-TA-1852</w:t>
    </w:r>
    <w:r>
      <w:br/>
    </w:r>
    <w:r w:rsidR="00000000" w:rsidRPr="00000000" w:rsidDel="00000000">
      <w:rPr>
        <w:rtl w:val="0"/>
      </w:rPr>
      <w:t xml:space="preserve">Izdrukāts 28.09.2023. 20.01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Atzinumi_23-TA-1852.docx</dc:title>
</cp:coreProperties>
</file>

<file path=docProps/custom.xml><?xml version="1.0" encoding="utf-8"?>
<Properties xmlns="http://schemas.openxmlformats.org/officeDocument/2006/custom-properties" xmlns:vt="http://schemas.openxmlformats.org/officeDocument/2006/docPropsVTypes"/>
</file>