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pārvaldes modernizācijas plāns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"6.2. Cilvēkresursu attīstība" aprakstošajā daļā ir papildināts ar atlīdzības jautājumu, nosakot, ka, lai sekmētu jaunu nodarbināto piesaisti un esošā darbaspēka neaizplūšanu, </w:t>
            </w:r>
            <w:r w:rsidR="00000000" w:rsidRPr="00000000" w:rsidDel="00000000">
              <w:rPr>
                <w:u w:val="single"/>
                <w:rtl w:val="0"/>
              </w:rPr>
              <w:t xml:space="preserve">ir jārisina</w:t>
            </w:r>
            <w:r w:rsidR="00000000" w:rsidRPr="00000000" w:rsidDel="00000000">
              <w:rPr>
                <w:rtl w:val="0"/>
              </w:rPr>
              <w:t xml:space="preserve"> atlīdzības konkurētspējas jautājums, jo atlīdzība ir viens no būtiskiem instrumentiem gan esošo nodarbināto noturēšanai, gan jaunu profesionāļu piesaistei. Tai pat laikā tabulā "2. Rīcības virziens: Cilvēkresursu attīstība" nav iekļauts attiecīgs pasākums, lūdzam papildināt tabulu ar pasākumu par atlīdzības konkurētspējas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rīcības virziena "6.2. Cilvēkresursu attīstība" aprakstošajā daļā pievienot īsu skaidrojumu "pirmajam solim" teikumā "Šobrīd ir sperts pirmais solis, kura ietvaros visiem nodarbinātajiem valsts tiešās pārvaldes iestādēs mēnešalga nedrīkstēs būt zemāka kā attiecīgās mēnešalgu grupas skalas minimums".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03.03.2023.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03.03.2023.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Atzinumi_22-TA-3192.docx</dc:title>
</cp:coreProperties>
</file>

<file path=docProps/custom.xml><?xml version="1.0" encoding="utf-8"?>
<Properties xmlns="http://schemas.openxmlformats.org/officeDocument/2006/custom-properties" xmlns:vt="http://schemas.openxmlformats.org/officeDocument/2006/docPropsVTypes"/>
</file>