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īstenojamiem pasākumiem, lai veicinātu aktīvāku publisko pasūtītāju iesaisti zaudējumu atgūšanā, kas tiem radušies organizētajos iepirkumos tirgus dalībnieku īstenoto konkurences tiesību pārkāpumu dēļ</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lai nodrošinātu metodiskā atbalsta sniegšanu publiskām personām zaudējumu atlīdzināšanas procesa ietvaros, Konkurences padomei no 2024.gada nepieciešams izveidot atsevišķu, no iestādes pamatfunkcijām nošķirtu struktūrvienību ar sešām jaunām amata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Neskatoties uz izziņā norādīto, ka Konkurences padomes vakantās amata vietas (8 vakances uz 30.04.2023.) jau gandrīz aizpildītas, taču atbilstoši Konkurences padomes sniegtajiem datiem Atlīdzības uzskaites sistēmā (dati no Konkurences padomes iesniegti tikai par 2023.gada maiju (iesniegti 07.06.2023. plkst. 15:51:15, bet par jūniju dati vispār nav iesniegti (uz 30.07.2023.), neskatoties ka MK noteikumi Nr. 662 nosaka obligātu datu iesniegšanu līdz 15.07.2023. ar tiesībām veikt labojumus līdz 25.07.2023.) kopējais vakanto amata vietu skaits ir 8 amata vietas jeb 13% no iestādes kopējo amata vietu skaita. Vienlaikus vēršam uzmanību, ka Ekonomikas ministrijas resorā uz 30.06.2023. kopumā vakanti ir 156 amati jeb 12% no kopējā amatu vietu skaita.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02.08.2023.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02.08.2023.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Atzinumi_23-TA-1161.docx</dc:title>
</cp:coreProperties>
</file>

<file path=docProps/custom.xml><?xml version="1.0" encoding="utf-8"?>
<Properties xmlns="http://schemas.openxmlformats.org/officeDocument/2006/custom-properties" xmlns:vt="http://schemas.openxmlformats.org/officeDocument/2006/docPropsVTypes"/>
</file>