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iekļaut norādi, ka grozījumi investīcijas finansējumā un rādītājos tiek veikti atbilstoši Ekonomikas ministrijas ierosinātajiem Atveseļošanas fonda grozījumiem - Latvijas Atveseļošanas un noturības mehānisma (turpmāk – Atveseļošanas fonds) plāna otrajam papildinājumam, kas apstiprināts Ministru kabinetā 18.12.2024. (TA - 2070). Tāpat lūdzam iekļaut piezīmi, ka gadījumā, ja grozījumi netiks apstiprināti no Eiropas Komisijas vai Padomes puses, tad EM veiks attiecīgus grozījumus 2.3.1.2.i. investīcijas MK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plānotās izmaiņas rādītāju Nr. 63 un 64 aprakstā, kas iekļautas Ekonomikas ministrijas ierosinātajos Atveseļošanas fonda grozījumos, tajā skaitā, izmaiņas rādītāju uzskaites metodikā.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noteikumu projekta 7.punktam finansējums 2.3.1.2.i. investīcijas "Uzņēmumu digitālo prasmju attīstība" īstenošanai tiks samazināts par 3 515 154 euro, attiecīgi lūdzam aizpildīt anotācijas 3.sadaļu, atspoguļojot finansējuma samazinājumu un sniedzot informāciju par attiecīgā finansējuma pārdali citai investīcijai.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9.1.1. komersantu skaits, kam nodrošināta digitālo pamatprasmju apguve līdz 2024. gada 30. jūnijam, – 628 komersanti;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rādītāju redakcijas saskaņā ar jaunāko EK iesūtīto Padomes īstenošanas lēmuma (CID) versiju (no EK iesūtīts 15.01.2025.), saskaņā ar kuru plānots uzskaitīt apmācību nevis komersantu skaitu.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ir noteikts šāds uzraudzības rādītājs – komersantu skaits, kam nodrošināta digitālo pamatprasmju apguve līdz 2025. gada 30. jūnijam, – 1382 komersanti;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grozījumam MK noteikumu 9.2.apakšpunktā nav pamatojuma, t.i., šobrīd nav atvērts Atveseļošanas fonda Darbības kārtības grozījumu process, lūdzam to dzēst. Vienlaicīgi norādām, ka EK ir informējusi, ka pie nākamajiem Darbības kārtības grozījumiem uzraudzības rādītāji no dokumenta tiks dzēsti.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Ja pēc pirmās kārtas ierobežotās atlases, otrās atlases kārtas atklātā konkursa pirmā un otrā uzsaukuma ir palicis pāri finansējums, atbildīgā iestāde lemj par atlikušā finansējuma turpmāku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MK noteikumu 12.</w:t>
            </w:r>
            <w:r w:rsidR="00000000" w:rsidRPr="00000000" w:rsidDel="00000000">
              <w:rPr>
                <w:vertAlign w:val="superscript"/>
                <w:rtl w:val="0"/>
              </w:rPr>
              <w:t xml:space="preserve">1</w:t>
            </w:r>
            <w:r w:rsidR="00000000" w:rsidRPr="00000000" w:rsidDel="00000000">
              <w:rPr>
                <w:rtl w:val="0"/>
              </w:rPr>
              <w:t xml:space="preserve"> punktā noteikto normu, jo par Atveseļošanas fonda finansējuma izmantošanu var lemt tikai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38.2.5. ar apmācību organizēšanu saistītās izmaksas, t.sk. izmantojamo telpu un iekārtu nomas izmaksas par apmācību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MK noteikumos ietvertajiem precizējumiem izmaksu pozīcijās, lūgums anotācijā sniegt izvērtējumu par piedāvāto izmaiņu ietekmi uz investīcijas rādītāju sasniegšanu, kā arī noteikt pārejas nosacījumus šo punktu piemērošanai investīcijas projektos.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r w:rsidR="00000000" w:rsidRPr="00000000" w:rsidDel="00000000">
              <w:rPr>
                <w:vertAlign w:val="superscript"/>
                <w:rtl w:val="0"/>
              </w:rPr>
              <w:t xml:space="preserve">1</w:t>
            </w:r>
            <w:r w:rsidR="00000000" w:rsidRPr="00000000" w:rsidDel="00000000">
              <w:rPr>
                <w:rtl w:val="0"/>
              </w:rPr>
              <w:t xml:space="preserve"> Ja finansējuma saņēmējs de minimis atbalsta uzskaites sistēmā redz visu nepieciešamo informāciju par gala labuma guvēju, lai piešķirtu atbalstu, gala labuma guvējs de minimis atbalsta veidlapu finansējuma saņēmējam var neiesniegt.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gala labuma guvējam noteiktais pienākums – sagatavot un atbalsta sniedzējam iesniegt de minimis atbalsta uzskaites sistēmā aizpildītu veidlapu vai norādīt sistēmā izveidotās un apstiprinātās pretendenta veidlapas identifikācijas numuru, izriet no normatīvajiem aktiem par de minimis atbalsta uzskaites un piešķiršanas kārtību (Ministru kabineta noteikumu Nr. 715 “De minimis atbalsta uzskaites un piešķiršanas kārtība” 20. punkts), lūdzam svītrot no noteikumu (grozījumu) projekta 21.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atbalsta sniedzējam veidlapa un tajā ietvertā informācija nepieciešama, lai izvērtētu, vai atbalsta pretendentam viena vienota uzņēmuma līmenī var piešķirt atbalstu saskaņā ar Komisijas regulas Nr. 2023/2831 par Līguma par Eiropas Savienības darbību 107. un 108. panta piemērošanu de minimis atbalstam (turpmāk  - Komisijas regula Nr. 2023/2831) nosacījumiem, tai skaitā, pārliecinoties, ka plānotais de minimis atbalsts kopā ar iepriekšējos trīs gados, skaitot no atbalsta piešķiršanas dienas, piešķirto de minimis atbalstu viena vienota uzņēmuma līmenī nepārsniedz Komisijas regulas Nr.2023/2831 3.panta 2.punktā noteikto maksimālo de minimis atbalsta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izvērtētu iepriekš minēto nosacījumu, jāvērtē de minimis veidlapā iekļautā informācija par viena vienota uzņēmuma sastāvu atbilstoši de minimis regulējumā minētajai viena vienota uzņēmuma definīcijai (Komisijas regulas Nr. 2023/2831 2.panta 2.punkts), jo publiskos reģistros pilnā apmērā šāda informācija nav pieejama. Attiecīgi, lai saņemtu de minimis atbalstu, atbalsta pretendentam ir pienākums sistēmā sagatavot un apstiprināt de minimis atbalsta veidlapu.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Atbalsts gala labuma guvējam un finansējuma saņēmējam netiek sniegts, ja mācības tiek sniegtas saistībā ar šādām jomām vai darbībām: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grozījumi paredz paplašināt atbalstāmo uzņēmumu loku, paredzot atbalstu arī alkoholisko dzērienu tirdzniecības komersantiem, vēršam uzmanību, ka 2025. gada 9. janvārī Saeimā trešajā lasījumā atbalstīja grozījumus Alkoholisko dzērienu aprites likumā, kas paredz ievērojamas izmaiņas alkoholisko dzērienu tirdzniecībā, izplatīšanā un reklāmā, kuru mērķis ir sasniegt politikas plānošanas dokumentos (Sabiedrības veselības pamatnostādnēs 2021.-2027.gadam, Alkoholisko dzērienu patēriņa mazināšanas un alkoholisma ierobežošanas rīcības plānā 2020.– 2022.gadam) uzstādītos mērķus un rezultatīvos rādītājus, kas paredz samazināt reģistrētā absolūtā alkohola patēriņu litros uz vienu 15 gadus vecu un vecāku iedzīvotāju un samazināt pēdējā gada laikā riskanto un pārmērīgo alkohola lietošanu, lūdzam minētos grozījumus saskaņot arī ar Veselības ministriju. Turklāt informējam, ka alkohola ražošanas vai tirdzniecības uzņēmumu atbalstīšanu no ES fondiem nevar uzskatīt par labo praksi.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Atbalsts gala labuma guvējam un finansējuma saņēmējam netiek sniegts, ja mācības tiek sniegtas saistībā ar šādām jomām vai darbībām: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Komisijas regulas Nr. 2023/2831 1. panta 1. punktā un Komisijas regulas Nr. 651/2014 13. pantā noteiktajam, atbalstu var piešķirt visu nozaru uzņēmumiem, izņemot uzņēmumiem, kuri nodarbojas attiecīgajā regulas pantā noteiktajās neatbalstāmajās nozarēs. Līdz ar to, ja uzņēmums darbojas tikai kādā no neatbalstāmajām nozarēm, atbalstu (arī mācību veidā) tam nevar piešķirt. Attiecīgi lūdzam atstāt noteikumu projekta 80. punkta spēkā esošo redakciju, paredzot, ka atbalsts gala labuma guvējam un finansējuma saņēmējam netiek sniegts, ja tas darbojas 80. punkta apakšpunktos noteiktajās nozarēs.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89.3. gala labuma guvējs atbilst Komisijas regulas Nr. </w:t>
            </w:r>
            <w:r w:rsidR="00000000" w:rsidRPr="00000000" w:rsidDel="00000000">
              <w:rPr>
                <w:rtl w:val="0"/>
              </w:rPr>
              <w:t xml:space="preserve">651/2014</w:t>
            </w:r>
            <w:r w:rsidR="00000000" w:rsidRPr="00000000" w:rsidDel="00000000">
              <w:rPr>
                <w:rtl w:val="0"/>
              </w:rPr>
              <w:t xml:space="preserve"> 2. panta 18. punktā noteiktajai definīcijai;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Komisijas regulas Nr. 651/2014 1. panta 4. punkta un 2. panta 18. punkta nosacījumi ir jāvērtē/jāpiemēro uzņēmuma grupas līmenī, jo Komisijas regulas Nr. 651/2014 angliskajā versijā nosacījumi, kas ir attiecināmi uz “undertaking”, ir jāpārbauda/jāpiemēro uzņēmuma grupas līmenī. Ņemot vērā iepriekš minēto, lūdzam precizēt noteikumu projekta 89.3. apakšpunktu un pēc analoģijas - 89.2. apakšpunktu, nosakot, ka šie nosacījumi tiks vērtēti uzņēmuma grupas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anotācijā ietvert informāciju par to, ka ir plānota visu finansējuma saņēmēju informēšana par grozījumiem pēc to apstiprināšanas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2.3.1.2.i. investīcijas "Uzņēmumu digitālo prasmju attīstība" atlases kārtas tiek organizētas gan ierobežotas, gan atklātas projekta iesniegumu atlases veidā, lūdzam papildināt noteikumu projekta anotāciju ar izvērstu skaidrojumu par noteikumu projekta grozījumu ietekmi uz finansējuma saņēmējiem un projekta iesniedzējiem, tāpat arī ietekmi uz gala labuma guvējiem. Papildus lūdzam ietvert anotācijā informāciju, vai būs jāveic grozījumi līgumos par investīciju projekta īstenošanu, ņemot vērā izstrādātos grozījumus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9.1.1. komersantu skaits, kam nodrošināta digitālo pamatprasmju apguve līdz 2024. gada 30. jūnijam, – 628 komersanti;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9.4.1. apakšpunktā norādīts: "komersantu skaits, kam nodrošināta digitālo pamatprasmju apguve pirmās atlases kārtas ietvaros līdz 2024. gada 30. jūnijam, – 500 [...]", MK noteikumu 9.4.2.apakšpunktā norādīts: "komersantu skaits, kam nodrošināta digitālo pamatprasmju apguve otrās atlases kārtas ietvaros līdz 2024. gada 30. jūnijam, – 125"  - matemātiski kopējais skaits veidojas 625 komersanti nevis 628 komersanti. Lūdzam AI precizēt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38.2.6. gala labuma guvēja darbinieku izmitināšanas izmaksas, ja gala labuma guvējam atbalsts tiek piešķirts Komisijas regulas Nr. 2023/2831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nepieciešams veikt izmaiņas arī šo noteikumu 44.2.5.apakšpunktā attiecībā uz gala labuma guvēja darbinieku izmitināšanas izmaksām 2.kārtas ietvaros, ņemot vērā anotācijā sniegto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Finansējumu šo noteikumu </w:t>
            </w:r>
            <w:r w:rsidR="00000000" w:rsidRPr="00000000" w:rsidDel="00000000">
              <w:rPr>
                <w:rtl w:val="0"/>
              </w:rPr>
              <w:t xml:space="preserve">53. punktā</w:t>
            </w:r>
            <w:r w:rsidR="00000000" w:rsidRPr="00000000" w:rsidDel="00000000">
              <w:rPr>
                <w:rtl w:val="0"/>
              </w:rPr>
              <w:t xml:space="preserve"> minēto izmaksu segšanai sniedz saskaņā ar Komisijas regulu Nr. </w:t>
            </w:r>
            <w:r w:rsidR="00000000" w:rsidRPr="00000000" w:rsidDel="00000000">
              <w:rPr>
                <w:rtl w:val="0"/>
              </w:rPr>
              <w:t xml:space="preserve">​</w:t>
            </w:r>
            <w:r w:rsidR="00000000" w:rsidRPr="00000000" w:rsidDel="00000000">
              <w:rPr>
                <w:rtl w:val="0"/>
              </w:rPr>
              <w:t xml:space="preserve">2023/2831</w:t>
            </w:r>
            <w:r w:rsidR="00000000" w:rsidRPr="00000000" w:rsidDel="00000000">
              <w:rPr>
                <w:rtl w:val="0"/>
              </w:rPr>
              <w:t xml:space="preserve"> un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 un tas ir uzskatāms par komercdarbības atbalstu finansējuma saņēmējam. Aģentūra un ministrija atbilstoši šo noteikumu </w:t>
            </w:r>
            <w:r w:rsidR="00000000" w:rsidRPr="00000000" w:rsidDel="00000000">
              <w:rPr>
                <w:rtl w:val="0"/>
              </w:rPr>
              <w:t xml:space="preserve">78. punktam</w:t>
            </w:r>
            <w:r w:rsidR="00000000" w:rsidRPr="00000000" w:rsidDel="00000000">
              <w:rPr>
                <w:rtl w:val="0"/>
              </w:rPr>
              <w:t xml:space="preserve"> vērtē finansējuma saņēmēja atbilstību </w:t>
            </w:r>
            <w:r w:rsidR="00000000" w:rsidRPr="00000000" w:rsidDel="00000000">
              <w:rPr>
                <w:i w:val="1"/>
                <w:rtl w:val="0"/>
              </w:rPr>
              <w:t xml:space="preserve">de minimis</w:t>
            </w:r>
            <w:r w:rsidR="00000000" w:rsidRPr="00000000" w:rsidDel="00000000">
              <w:rPr>
                <w:rtl w:val="0"/>
              </w:rPr>
              <w:t xml:space="preserve"> atbalsta nosacījumiem uz komercdarbības atbalsta piešķiršanas brīdi. Par komercdarbības atbalsta piešķiršanas dienu uzskatāma diena, kad aģentūra un ministrija pieņēmusi lēmumu par komercdarbības atbalsta piešķiršanu finansējuma saņēmējam. Pirmās atlases kārtas ietvaros Eiropas digitālās inovācijas centrs veic darbību kā inovāciju kopa atbilstoši Komisijas regulas Nr. </w:t>
            </w:r>
            <w:r w:rsidR="00000000" w:rsidRPr="00000000" w:rsidDel="00000000">
              <w:rPr>
                <w:rtl w:val="0"/>
              </w:rPr>
              <w:t xml:space="preserve">651/2014</w:t>
            </w:r>
            <w:r w:rsidR="00000000" w:rsidRPr="00000000" w:rsidDel="00000000">
              <w:rPr>
                <w:rtl w:val="0"/>
              </w:rPr>
              <w:t xml:space="preserve"> 2. panta 92. apakšpunkta definīcijai, un </w:t>
            </w:r>
            <w:r w:rsidR="00000000" w:rsidRPr="00000000" w:rsidDel="00000000">
              <w:rPr>
                <w:i w:val="1"/>
                <w:rtl w:val="0"/>
              </w:rPr>
              <w:t xml:space="preserve">de minimis</w:t>
            </w:r>
            <w:r w:rsidR="00000000" w:rsidRPr="00000000" w:rsidDel="00000000">
              <w:rPr>
                <w:rtl w:val="0"/>
              </w:rPr>
              <w:t xml:space="preserve"> atbalsts tiek uzskaitīts katram Eiropas digitālās inovācijas centra vai inovācijas kopas dalībniekam atsevišķi.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2024. gada 1. jūlijā stājušies spēkā grozījumi Ministru kabineta 2018. gada 21. novembra noteikumos Nr. 715 "De minimis atbalsta uzskaites un piešķiršanas kārtība", lūdzam precizēt noteikumu projekta 83. punktu un svītrot vārdus "un </w:t>
            </w:r>
            <w:r w:rsidR="00000000" w:rsidRPr="00000000" w:rsidDel="00000000">
              <w:rPr>
                <w:i w:val="1"/>
                <w:rtl w:val="0"/>
              </w:rPr>
              <w:t xml:space="preserve">de minimis</w:t>
            </w:r>
            <w:r w:rsidR="00000000" w:rsidRPr="00000000" w:rsidDel="00000000">
              <w:rPr>
                <w:rtl w:val="0"/>
              </w:rPr>
              <w:t xml:space="preserve"> atbalsta uzskaites veidlapu paraugiem".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r w:rsidR="00000000" w:rsidRPr="00000000" w:rsidDel="00000000">
              <w:rPr>
                <w:vertAlign w:val="superscript"/>
                <w:rtl w:val="0"/>
              </w:rPr>
              <w:t xml:space="preserve">1</w:t>
            </w:r>
            <w:r w:rsidR="00000000" w:rsidRPr="00000000" w:rsidDel="00000000">
              <w:rPr>
                <w:rtl w:val="0"/>
              </w:rPr>
              <w:t xml:space="preserve"> Pieļaujamā finansējuma intensitāte, saņemot atbalstu no Komisijas regulas Nr. 2023/2831, no projekta kopējām izmaksām ir 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 ar kuru brīdi piemērojams MK noteikumu grozījumos iestrādātais punkts, kāda ir ietekme uz jau pieņemtajiem lēmumiem attiecība uz gala labuma guvējiem un līdz šim iekļautajām izmaksām Progresa pārskatos, ņemot vērā MK noteikumu 87.punkta līdzšinējo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89.2. pastāv Komisijas regulas Nr. </w:t>
            </w:r>
            <w:r w:rsidR="00000000" w:rsidRPr="00000000" w:rsidDel="00000000">
              <w:rPr>
                <w:rtl w:val="0"/>
              </w:rPr>
              <w:t xml:space="preserve">651/2014</w:t>
            </w:r>
            <w:r w:rsidR="00000000" w:rsidRPr="00000000" w:rsidDel="00000000">
              <w:rPr>
                <w:rtl w:val="0"/>
              </w:rPr>
              <w:t xml:space="preserve"> 1. panta 4. punkta "a" un "b" apakšpunktā minētie apstākļi;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noteikumu projektā 89.2. apakšpunktā ietvertās normas nekorektu interpretāciju, lūdzam svītrot noteikumu projekta 89.2. apakšpunktā ietverto atsauci uz Komisijas regulas Nr. 651/2014 1. panta 4. punkta "b" apakšpunktu, jo attiecīgajā regulas apakšpunktā ir noteikts izņēmums atbalsta piešķiršanai ad-hoc atbalsta projekta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Ja tiek pārkāptas Komisijas regulas Nr. </w:t>
            </w:r>
            <w:r w:rsidR="00000000" w:rsidRPr="00000000" w:rsidDel="00000000">
              <w:rPr>
                <w:rtl w:val="0"/>
              </w:rPr>
              <w:t xml:space="preserve">651/2014</w:t>
            </w:r>
            <w:r w:rsidR="00000000" w:rsidRPr="00000000" w:rsidDel="00000000">
              <w:rPr>
                <w:rtl w:val="0"/>
              </w:rPr>
              <w:t xml:space="preserve"> prasības, finansējuma saņēmējs uzliek par pienākumu gala labuma guvējam atmaksāt finansējuma saņēmējam visu projekta ietvaros saņemto nelikumīgo valsts atbalstu. Finansējuma saņēmējam ir pienākums atmaksāt aģentūrai visu projekta ietvaros saņemto nelikumīgo valsts atbalstu. Atbalstu atmaksā kopā ar procentiem, kurus aprēķina no dienas, kad valsts atbalsts tika izmaksāts gala labuma guvējam, līdz tā atgūšanas dienai, no līdzekļiem, kas ir brīvi no valsts atbalsta, atbilstoši </w:t>
            </w:r>
            <w:r w:rsidR="00000000" w:rsidRPr="00000000" w:rsidDel="00000000">
              <w:rPr>
                <w:rtl w:val="0"/>
              </w:rPr>
              <w:t xml:space="preserve">Komercdarbības atbalsta kontroles likuma</w:t>
            </w:r>
            <w:r w:rsidR="00000000" w:rsidRPr="00000000" w:rsidDel="00000000">
              <w:rPr>
                <w:rtl w:val="0"/>
              </w:rPr>
              <w:t xml:space="preserve">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noteikumu projektā nodrošinātu vienotu terminoloģiju, lūdzam precizēt noteikumu projekta 91. punktu, aizstājot vārdu "valsts" ar vārdu "komercdarbības".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ka finansējuma saņēmējs nelikumīgo komercdarbības atbalstu atgūst no gala labuma guvēja, nevis pats saņem nelikumīgo komercdarbības atbalstu šo noteikumu ietvaros, aicinām izvērtēt iespēju noteikumu projekta 91. punkta otrajā teikumā norādīt, ka finansējuma saņēmējam ir pienākums atmaksāt aģentūrai no gala labuma guvēja atgūto nelikumīgo komercdarbības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analoģijas aicinām precizēt arī noteikumu projekta 92.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24-TA-2284</w:t>
    </w:r>
    <w:r>
      <w:br/>
    </w:r>
    <w:r w:rsidR="00000000" w:rsidRPr="00000000" w:rsidDel="00000000">
      <w:rPr>
        <w:rtl w:val="0"/>
      </w:rPr>
      <w:t xml:space="preserve">Izdrukāts 23.01.2025. 15.10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24-TA-2284</w:t>
    </w:r>
    <w:r>
      <w:br/>
    </w:r>
    <w:r w:rsidR="00000000" w:rsidRPr="00000000" w:rsidDel="00000000">
      <w:rPr>
        <w:rtl w:val="0"/>
      </w:rPr>
      <w:t xml:space="preserve">Izdrukāts 23.01.2025. 15.10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Atzinumi_24-TA-2284.docx</dc:title>
</cp:coreProperties>
</file>

<file path=docProps/custom.xml><?xml version="1.0" encoding="utf-8"?>
<Properties xmlns="http://schemas.openxmlformats.org/officeDocument/2006/custom-properties" xmlns:vt="http://schemas.openxmlformats.org/officeDocument/2006/docPropsVTypes"/>
</file>