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netiešās attiecināmās izmaksas ir finansējuma saņēmēja projekta vadības personāla izmaksas, kuras plāno kā vienu izmaksu pozīciju, piemērojot netiešo izmaksu vienoto likmi 15 procentu apmērā no šo noteikumu </w:t>
            </w:r>
            <w:r w:rsidR="00000000" w:rsidRPr="00000000" w:rsidDel="00000000">
              <w:rPr>
                <w:rtl w:val="0"/>
              </w:rPr>
              <w:t xml:space="preserve">35.9.</w:t>
            </w:r>
            <w:r w:rsidR="00000000" w:rsidRPr="00000000" w:rsidDel="00000000">
              <w:rPr>
                <w:rtl w:val="0"/>
              </w:rPr>
              <w:t xml:space="preserve"> apakšpunktā minētajām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viens projekts var saturēt gan neatbalsta daļu, gan vairākas daļas, kurām atbalstu sniedz piemērojot komercdarbības atbalsta regulējumu, lūdzam anotācijā skaidrot, kā tiks nodrošināta projekta netiešo izmaksu atbilstība komercdarbības atbalsta regulējumam, ja plānots piemērot vienu izmaksu pozīciju.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netiešās attiecināmās izmaksas ir finansējuma saņēmēja projekta vadības personāla izmaksas, kuras plāno kā vienu izmaksu pozīciju, piemērojot netiešo izmaksu vienoto likmi 15 procentu apmērā no šo noteikumu </w:t>
            </w:r>
            <w:r w:rsidR="00000000" w:rsidRPr="00000000" w:rsidDel="00000000">
              <w:rPr>
                <w:rtl w:val="0"/>
              </w:rPr>
              <w:t xml:space="preserve">35.9.</w:t>
            </w:r>
            <w:r w:rsidR="00000000" w:rsidRPr="00000000" w:rsidDel="00000000">
              <w:rPr>
                <w:rtl w:val="0"/>
              </w:rPr>
              <w:t xml:space="preserve"> apakšpunktā minētajām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 vadlīniju Nr. 1.1. "Vadlīnijas par vienkāršoto izmaksu izmantošanas iespējām un to piemērošana Eiropas Savienības kohēzijas politikas programmas 2021.–2027.gadam ietvaros" 79.punktā noteikto, ka SAM pasākumos, kuros ir plānots komercdarbības atbalsts, ne tikai par tiešajām attiecināmajām izmaksām, bet arī par netiešajām attiecināmajām izmaksām, finansējuma saņēmējam ir jāveic izmaksu uzskaite atbilstoši faktisko izmaksu uzskaites metodei un, tā kā šajā pasākumā komercdarbības atbalstu piešķir saskaņā ar Regulu Nr.651/2014, lūdzam izvērtēt, vai netiešo izmaksu vienotās likmes piemērošana nodrošinās procesu vienkāršošanu un administratīvā sloga samazināšanu, kā arī to, vai pilnvarojuma uzlicējs nodrošinās pārkompensācijas novēršanu. Ja nodrošinās, lūdzam identificēt, kādas izmaksu pozīcijas attiecināmas no netiešajām izmaksām, kā arī aicinām izvērtēt iespēju piemērot vienkāršotās izmaksas personāla atlīdzības izmaksu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35.1.7. bezemisiju transportlīdzekļu, kas darbināmi ar elektroenerģiju, uzlādes infrastruktūras izbūve uzņēmējdarbības teritorijā ar izejas jaudu vismaz 150 kW;</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paredzēts atbalsts uzlādes infrastruktūras izbūvei uzņēmējdarbības teritorijā, taču nav skaidrs, vai tā būs publiski pieejama, vai arī tikai konkrēta komersanta vajadzībām. Attiecīgi lūdzam papildināt šo noteikumu projekta punktu, tā lai skaidrs, kādiem mērķiem plānota konkrētā infrastruktūra. Gadījumā, ja plānots atbalsts publiski pieejamai bezemisiju un mazemisiju autotransporta līdzekļu uzlādes infrastruktūrai, lūdzam noteikumu projektu papildināt ar attiecīgajiem komercdarbības atbalsta nosacījumiem, piemēram, regulas Nr. 651/2014 36.a panta nosacījumiem. Vienlaikus ar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35.1.8. tādu inženiertehnisko sistēmu un iekārtu iegāde un uzstādīšana, kas uzkrāj vai ražo enerģiju no atjaunojamiem energoresursiem (ievērojot nosacījumu par saražotās enerģijas izmantošanu projekta ietvaros attīstītajā vai labiekārtotajā teritorijā). Šajā apakšpunktā minētās izmaksas nepārsniedz 30 procentus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nav skaidrs, vai iekārtu, kas ražo enerģiju no atjaunojamiem energoresursiem, iegāde būs atbalstāma publiski pieejamā infrastruktūrā, vai vispārējas nozīmes tautsaimniecības pakalpojumu (VTNP) sniedzēju vajadzībām, vai arī konkrēta komersanta vajadzībām. Līdz ar to lūdzam papildināt šo punktu, tā lai skaidrs, kādiem mērķiem plānota konkrētā infrastruktūra. Skaidrojam, ka atkarībā no tā, kādām vajadzībām atbalsts iekārtu, kas ražo enerģiju no atjaunojamiem energoresursiem, iegādei tiek sniegts, ir jāievēro attiecīgie komercdarbības atbalsta vai tā izslēdzošie nosacījumi. Proti, ja atbalsts tiek piešķirts infrastruktūras izveidei, kas kvalificējas kā nesaimnieciska (publiski pieejama infrastruktūra bez ierobežojumiem), tad, ja atbalsts tiek sniegts arī AER izmantojošu iekārtu iegādei, noteikumos jāiekļauj nosacījums, ka vismaz 80% no saražotās enerģijas ir jāizmanto pašpatēriņam. Vienlaikus jāpapildina arī attiecīgie uzraudzības nosacījumi iekārtas amortizācijas laikā, un skaidrojums anotācijā. Savukārt, ja atbalsts tiek piešķirts VTNP sniedzēju vajadzībām - infrastruktūras izveidei, piemērojot VTNP lēmumu, tad, ja atbalsts tiek sniegts arī AER izmantojošu iekārtu iegādei, noteikumos jāiekļauj nosacījums, ka 100% no saražotās enerģijas ir jāizmanto pašpatēriņam. Vienlaikus jāpapildina ar skaidrojumu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Pievienotās vērtības nodoklis, kas tiešā veidā saistīts ar projektu, uzskatāms par attiecināmām izmaksām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Vadlīniju Nr.1.2. “Vadlīnijas attiecināmo izmaksu noteikšanai Eiropas Savienības kohēzijas politikas programmas 2021.-2027.gada plānošanas periodā" 19.1.apakšpunktā noteikto, proti, ka saskaņā ar Kopīgo noteikumu regulas 64.panta 1.punkta c) apakšpunktu PVN ir attiecināmas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Projektiem, kuru kopējās izmaksas ir mazākas par 5 milj. EUR (ieskaitot PVN). Savukārt gadījumos, kad finansējuma saņēmējs ir valsts atbalsta (t.sk. de minimis) saņēmējs PVN tiešajām attiecināmajām izmaksām var tikt attiecināms tikai tādā gadījumā,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Projektiem, kuru kopējās izmaksas ir vismaz 5 milj. EUR (ieskaitot PVN), ja tas nav atgūstams saskaņā ar attiecīgās valsts tiesību aktiem PVN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 saņēmēju veiktas investīcijas Finanšu instrumentu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augstāk minēto, lūdzam attiecīgā punkta redakcija papildināt ar nosacījumu, ka PVN ir attiecināmās izmaksas, ja vien nav atgūstams saskaņā ar valsts tiesību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publiska persona – publiskas personas īpašumā vai valdījumā esošā īpašumā, ja valdījuma tiesības ir iegūtas uz termiņu, kas nav īsāks par pieciem gadiem no dienas, kad veikts projekta noslēguma maksājums finansējuma saņēmējam. Ja plānots piemērot regulas Nr. 651/2014 41. pantā paredzēto atbalstu, ievēro šo noteikumu </w:t>
            </w:r>
            <w:r w:rsidR="00000000" w:rsidRPr="00000000" w:rsidDel="00000000">
              <w:rPr>
                <w:rtl w:val="0"/>
              </w:rPr>
              <w:t xml:space="preserve">54.1.</w:t>
            </w:r>
            <w:r w:rsidR="00000000" w:rsidRPr="00000000" w:rsidDel="00000000">
              <w:rPr>
                <w:rtl w:val="0"/>
              </w:rPr>
              <w:t xml:space="preserve"> apakšpunktā minētos nosacījumus. Ja plānots piemērot regulas Nr. 651/2014 56. pantā paredzēto atbalstu, ievēro šo noteikumu </w:t>
            </w:r>
            <w:r w:rsidR="00000000" w:rsidRPr="00000000" w:rsidDel="00000000">
              <w:rPr>
                <w:rtl w:val="0"/>
              </w:rPr>
              <w:t xml:space="preserve">55.</w:t>
            </w:r>
            <w:r w:rsidR="00000000" w:rsidRPr="00000000" w:rsidDel="00000000">
              <w:rPr>
                <w:rtl w:val="0"/>
              </w:rPr>
              <w:t xml:space="preserve"> punktā minētos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651/2014 56. pantu vietējās infrastruktūras izveidošanai piemēro, veicot finanšu iztrūkuma analīzi un attiecīgi arī projekta uzraudzību projekta dzīves ciklā (projekta pārskata periodā, ieguldījumu lietderīgajā izmantošanas laikā jeb ieguldījumu amortizācijas periodā), t.i. atbilstoši anotācijā skaidrotajam, - uzņēmējdarbības infrastruktūrai projekta pārskata periodā jeb dzīves ciklā, kas ir noteikts 10 – 15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šo noteikumu projekta punktu un noteikumos (piemēram, arī šo noteikumu 55.punktu) nosacījumu par valdījuma tiesībām, jo valdījuma tiesību periods nevar būt īsāks par saistībām projektā un uzraudzības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Izmaksas ir attiecināmas no projekta iesnieguma iesniegšanas brīža sadarbības iestādē, izņemot šo noteikumu </w:t>
            </w:r>
            <w:r w:rsidR="00000000" w:rsidRPr="00000000" w:rsidDel="00000000">
              <w:rPr>
                <w:rtl w:val="0"/>
              </w:rPr>
              <w:t xml:space="preserve">35.8.1.</w:t>
            </w:r>
            <w:r w:rsidR="00000000" w:rsidRPr="00000000" w:rsidDel="00000000">
              <w:rPr>
                <w:rtl w:val="0"/>
              </w:rPr>
              <w:t xml:space="preserve"> apakšpunktā minētās projekta pamatojošās dokumentācijas sagatavošanas izmaksas un šo noteikumu </w:t>
            </w:r>
            <w:r w:rsidR="00000000" w:rsidRPr="00000000" w:rsidDel="00000000">
              <w:rPr>
                <w:rtl w:val="0"/>
              </w:rPr>
              <w:t xml:space="preserve">35.3.6.</w:t>
            </w:r>
            <w:r w:rsidR="00000000" w:rsidRPr="00000000" w:rsidDel="00000000">
              <w:rPr>
                <w:rtl w:val="0"/>
              </w:rPr>
              <w:t xml:space="preserve"> apakšpunktā minētās zemes iegādes izmaksas, kas ir attiecināmas no 2021. gada 1. janvāra. Būvdarbu līgumu slēdz un ar ieguldījumiem saistītus būvdarbus uzsāk pēc projekta iesnieguma iesniegšanas sadarbības iestādē, kā  arī, lai nodrošinātu Komisijas regulas Nr. 651/2014 6. panta 2. punktā minēto stimulējošās ietekmes prasību.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ka gadījumā, ja atbalsts tiek piešķirts projektam vai projekta daļai saskaņā ar Komisijas regulu Nr. 651/2014, un darbi pie projekta jau ir uzsākti pirms pieteikuma iesniegšanas, pārkāpjot stimulējošās ietekmes nosacījumu, viss projekts, vai projekta daļa, uz kuru attiecas stimulējošās ietekmes prasība, ir neattiecināma.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Komercdarbības atbalstu piešķir saskaņā ar regulas Nr. </w:t>
            </w:r>
            <w:r w:rsidR="00000000" w:rsidRPr="00000000" w:rsidDel="00000000">
              <w:rPr>
                <w:rtl w:val="0"/>
              </w:rPr>
              <w:t xml:space="preserve">651/2014</w:t>
            </w:r>
            <w:r w:rsidR="00000000" w:rsidRPr="00000000" w:rsidDel="00000000">
              <w:rPr>
                <w:rtl w:val="0"/>
              </w:rPr>
              <w:t xml:space="preserve"> 14., 41., 48. vai 56. pantu un 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58.</w:t>
            </w:r>
            <w:r w:rsidR="00000000" w:rsidRPr="00000000" w:rsidDel="00000000">
              <w:rPr>
                <w:rtl w:val="0"/>
              </w:rPr>
              <w:t xml:space="preserve"> punktu. Projekta ietvaros var kombinēt izmaksas, kuras ir saistītas un kuras nav saistītas ar komercdarbības atbalstu, vienlaikus nodrošinot izmaksu, kas ir attiecināmas uz komercdarbības atbalstu un izmaksu, kas nav attiecināmas uz komercdarbības atbalstu, nodalīšanu.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projekta punktu, jo nav skaidrs, kādēļ dotas atsauces uz šo noteikumu 42. un 58. punktu, ja jāievēro ir arī citi atbilstošie noteikumu 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atbalstu piešķir sākotnējiem ieguldījumiem atbilstoši šo noteikumu </w:t>
            </w:r>
            <w:r w:rsidR="00000000" w:rsidRPr="00000000" w:rsidDel="00000000">
              <w:rPr>
                <w:rtl w:val="0"/>
              </w:rPr>
              <w:t xml:space="preserve">35.4.1.</w:t>
            </w:r>
            <w:r w:rsidR="00000000" w:rsidRPr="00000000" w:rsidDel="00000000">
              <w:rPr>
                <w:rtl w:val="0"/>
              </w:rPr>
              <w:t xml:space="preserve"> </w:t>
            </w:r>
            <w:r w:rsidR="00000000" w:rsidRPr="00000000" w:rsidDel="00000000">
              <w:rPr>
                <w:rtl w:val="0"/>
              </w:rPr>
              <w:t xml:space="preserve">35.4.2.</w:t>
            </w:r>
            <w:r w:rsidR="00000000" w:rsidRPr="00000000" w:rsidDel="00000000">
              <w:rPr>
                <w:rtl w:val="0"/>
              </w:rPr>
              <w:t xml:space="preserve">, </w:t>
            </w:r>
            <w:r w:rsidR="00000000" w:rsidRPr="00000000" w:rsidDel="00000000">
              <w:rPr>
                <w:rtl w:val="0"/>
              </w:rPr>
              <w:t xml:space="preserve">35.4.4.</w:t>
            </w:r>
            <w:r w:rsidR="00000000" w:rsidRPr="00000000" w:rsidDel="00000000">
              <w:rPr>
                <w:rtl w:val="0"/>
              </w:rPr>
              <w:t xml:space="preserve">, </w:t>
            </w:r>
            <w:r w:rsidR="00000000" w:rsidRPr="00000000" w:rsidDel="00000000">
              <w:rPr>
                <w:rtl w:val="0"/>
              </w:rPr>
              <w:t xml:space="preserve">35.4.5.</w:t>
            </w:r>
            <w:r w:rsidR="00000000" w:rsidRPr="00000000" w:rsidDel="00000000">
              <w:rPr>
                <w:rtl w:val="0"/>
              </w:rPr>
              <w:t xml:space="preserve">, </w:t>
            </w:r>
            <w:r w:rsidR="00000000" w:rsidRPr="00000000" w:rsidDel="00000000">
              <w:rPr>
                <w:rtl w:val="0"/>
              </w:rPr>
              <w:t xml:space="preserve">35.4.6.</w:t>
            </w:r>
            <w:r w:rsidR="00000000" w:rsidRPr="00000000" w:rsidDel="00000000">
              <w:rPr>
                <w:rtl w:val="0"/>
              </w:rPr>
              <w:t xml:space="preserve"> un </w:t>
            </w:r>
            <w:r w:rsidR="00000000" w:rsidRPr="00000000" w:rsidDel="00000000">
              <w:rPr>
                <w:rtl w:val="0"/>
              </w:rPr>
              <w:t xml:space="preserve">35.4.7.</w:t>
            </w:r>
            <w:r w:rsidR="00000000" w:rsidRPr="00000000" w:rsidDel="00000000">
              <w:rPr>
                <w:rtl w:val="0"/>
              </w:rPr>
              <w:t xml:space="preserve"> apakšpunktā minētajām uzņēmējdarbības mērķiem paredzēto ēku un to saistītās infrastruktūras attīstīšanas attiecināmajām izmaksām, šo noteikumu  </w:t>
            </w:r>
            <w:r w:rsidR="00000000" w:rsidRPr="00000000" w:rsidDel="00000000">
              <w:rPr>
                <w:rtl w:val="0"/>
              </w:rPr>
              <w:t xml:space="preserve">35.1.1.</w:t>
            </w:r>
            <w:r w:rsidR="00000000" w:rsidRPr="00000000" w:rsidDel="00000000">
              <w:rPr>
                <w:rtl w:val="0"/>
              </w:rPr>
              <w:t xml:space="preserve">, </w:t>
            </w:r>
            <w:r w:rsidR="00000000" w:rsidRPr="00000000" w:rsidDel="00000000">
              <w:rPr>
                <w:rtl w:val="0"/>
              </w:rPr>
              <w:t xml:space="preserve">35.1.3.</w:t>
            </w:r>
            <w:r w:rsidR="00000000" w:rsidRPr="00000000" w:rsidDel="00000000">
              <w:rPr>
                <w:rtl w:val="0"/>
              </w:rPr>
              <w:t xml:space="preserve">, </w:t>
            </w:r>
            <w:r w:rsidR="00000000" w:rsidRPr="00000000" w:rsidDel="00000000">
              <w:rPr>
                <w:rtl w:val="0"/>
              </w:rPr>
              <w:t xml:space="preserve">35.1.4.</w:t>
            </w:r>
            <w:r w:rsidR="00000000" w:rsidRPr="00000000" w:rsidDel="00000000">
              <w:rPr>
                <w:rtl w:val="0"/>
              </w:rPr>
              <w:t xml:space="preserve">,  </w:t>
            </w:r>
            <w:r w:rsidR="00000000" w:rsidRPr="00000000" w:rsidDel="00000000">
              <w:rPr>
                <w:rtl w:val="0"/>
              </w:rPr>
              <w:t xml:space="preserve">35.1.5.</w:t>
            </w:r>
            <w:r w:rsidR="00000000" w:rsidRPr="00000000" w:rsidDel="00000000">
              <w:rPr>
                <w:rtl w:val="0"/>
              </w:rPr>
              <w:t xml:space="preserve">, </w:t>
            </w:r>
            <w:r w:rsidR="00000000" w:rsidRPr="00000000" w:rsidDel="00000000">
              <w:rPr>
                <w:rtl w:val="0"/>
              </w:rPr>
              <w:t xml:space="preserve">35.1.6.</w:t>
            </w:r>
            <w:r w:rsidR="00000000" w:rsidRPr="00000000" w:rsidDel="00000000">
              <w:rPr>
                <w:rtl w:val="0"/>
              </w:rPr>
              <w:t xml:space="preserve"> un </w:t>
            </w:r>
            <w:r w:rsidR="00000000" w:rsidRPr="00000000" w:rsidDel="00000000">
              <w:rPr>
                <w:rtl w:val="0"/>
              </w:rPr>
              <w:t xml:space="preserve">35.1.7.</w:t>
            </w:r>
            <w:r w:rsidR="00000000" w:rsidRPr="00000000" w:rsidDel="00000000">
              <w:rPr>
                <w:rtl w:val="0"/>
              </w:rPr>
              <w:t xml:space="preserve"> apakšpunktā minētajām uzņēmējdarbības teritorijas attīstīšanas un labiekārtošanas attiecināmajām izmaksām, šo noteikumu </w:t>
            </w:r>
            <w:r w:rsidR="00000000" w:rsidRPr="00000000" w:rsidDel="00000000">
              <w:rPr>
                <w:rtl w:val="0"/>
              </w:rPr>
              <w:t xml:space="preserve">35.3.1.</w:t>
            </w:r>
            <w:r w:rsidR="00000000" w:rsidRPr="00000000" w:rsidDel="00000000">
              <w:rPr>
                <w:rtl w:val="0"/>
              </w:rPr>
              <w:t xml:space="preserve">, </w:t>
            </w:r>
            <w:r w:rsidR="00000000" w:rsidRPr="00000000" w:rsidDel="00000000">
              <w:rPr>
                <w:rtl w:val="0"/>
              </w:rPr>
              <w:t xml:space="preserve">35.3.2.</w:t>
            </w:r>
            <w:r w:rsidR="00000000" w:rsidRPr="00000000" w:rsidDel="00000000">
              <w:rPr>
                <w:rtl w:val="0"/>
              </w:rPr>
              <w:t xml:space="preserve">, </w:t>
            </w:r>
            <w:r w:rsidR="00000000" w:rsidRPr="00000000" w:rsidDel="00000000">
              <w:rPr>
                <w:rtl w:val="0"/>
              </w:rPr>
              <w:t xml:space="preserve">35.3.3.</w:t>
            </w:r>
            <w:r w:rsidR="00000000" w:rsidRPr="00000000" w:rsidDel="00000000">
              <w:rPr>
                <w:rtl w:val="0"/>
              </w:rPr>
              <w:t xml:space="preserve">, </w:t>
            </w:r>
            <w:r w:rsidR="00000000" w:rsidRPr="00000000" w:rsidDel="00000000">
              <w:rPr>
                <w:rtl w:val="0"/>
              </w:rPr>
              <w:t xml:space="preserve">35.3.4.</w:t>
            </w:r>
            <w:r w:rsidR="00000000" w:rsidRPr="00000000" w:rsidDel="00000000">
              <w:rPr>
                <w:rtl w:val="0"/>
              </w:rPr>
              <w:t xml:space="preserve"> apakšpunktā minētajām satiksmes infrastruktūras, tai skaitā stāvlaukumu izmaksām, ko attīsta kā mērķorientētu infrastruktūru, šo noteikumu </w:t>
            </w:r>
            <w:r w:rsidR="00000000" w:rsidRPr="00000000" w:rsidDel="00000000">
              <w:rPr>
                <w:rtl w:val="0"/>
              </w:rPr>
              <w:t xml:space="preserve">35.5.</w:t>
            </w:r>
            <w:r w:rsidR="00000000" w:rsidRPr="00000000" w:rsidDel="00000000">
              <w:rPr>
                <w:rtl w:val="0"/>
              </w:rPr>
              <w:t xml:space="preserve"> apakšpunktā minētajām komunikāciju pārbūves izmaksām un šo noteikumu </w:t>
            </w:r>
            <w:r w:rsidR="00000000" w:rsidRPr="00000000" w:rsidDel="00000000">
              <w:rPr>
                <w:rtl w:val="0"/>
              </w:rPr>
              <w:t xml:space="preserve">36.</w:t>
            </w:r>
            <w:r w:rsidR="00000000" w:rsidRPr="00000000" w:rsidDel="00000000">
              <w:rPr>
                <w:rtl w:val="0"/>
              </w:rPr>
              <w:t xml:space="preserve"> punktā minētajām izmaksām . Ņemot vērā šajā apakšpunktā minēto, atbalstu piešķir ieguldījumiem materiālajos aktīvos (piemēram, uzņēmējdarbības teritorija, uzņēmējdarbības teritorijas iekšējie ceļi, kas nav publiski pieejami, ražošanas ēkas),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būtu skaidrs, kas tiek saprasts ar jēdzienu "sākotnējais ieguldījums", lūdzam noteikumu projektu papildināt ar atsauci uz attiecīgo regulas Nr. 651/2014 punktu un papildināt anotāciju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 atbalstu var saņemt sadarbības partneris, kas ir komersants, kurš nodrošina šo noteikumu </w:t>
            </w:r>
            <w:r w:rsidR="00000000" w:rsidRPr="00000000" w:rsidDel="00000000">
              <w:rPr>
                <w:rtl w:val="0"/>
              </w:rPr>
              <w:t xml:space="preserve">9.</w:t>
            </w:r>
            <w:r w:rsidR="00000000" w:rsidRPr="00000000" w:rsidDel="00000000">
              <w:rPr>
                <w:rtl w:val="0"/>
              </w:rPr>
              <w:t xml:space="preserve"> punktā minētos rādītājus, ievērojot šo noteikumu 50. punktā minētos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projekta apakšpunktu, jo atsauce uz šo noteikumu 50.punktu nav 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49.8. atbalsta saņēmējs apstiprina, ka tas pēdējo divu gadu laikā pirms pieteikšanās uz atbalstu nav veicis pārcelšanu regulas Nr. </w:t>
            </w:r>
            <w:r w:rsidR="00000000" w:rsidRPr="00000000" w:rsidDel="00000000">
              <w:rPr>
                <w:rtl w:val="0"/>
              </w:rPr>
              <w:t xml:space="preserve">651/2014</w:t>
            </w:r>
            <w:r w:rsidR="00000000" w:rsidRPr="00000000" w:rsidDel="00000000">
              <w:rPr>
                <w:rtl w:val="0"/>
              </w:rPr>
              <w:t xml:space="preserve">  izpratnē uz uzņēmējdarbības vietu, kurā tiks veikts sākotnējais ieguldījums, kuram pieprasīts atbalsts, un apņemas to nedarīt divus gadus pēc tam, kad ir pabeigts sākotnējais ieguldījums, kuram tiek pieprasīts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noteikumu projekta punktu precizēt, papildinot ar nosacījumiem, kas izriet no regulas Nr. 651/2014 14.panta 5.punkta. Attiecīgi lūdzam precizēt arī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49.11. maksimālā Eiropas Reģionālās attīstības fonda finansējuma atbalsta intensitāte Rīgas un Pierīgas statistiskajā  reģionā saskaņā ar 2021. gada 15. decembrī spēkā esošo NUTS 3. līmeņa klasifikāciju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juridiskai noteiktībai šo noteikumu projekta punktu papildināt tā, lai būtu viennozīmīgi skaidrs, ka Ogres novads, Limbažu novads, Saulkrastu novads un Tukuma novads piekrīt Pierīgas statistiskajam reģionam.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 atbalstu var saņemt šādi projektu iesniedzēji vai sadarbības partneri: komersants, pašvaldība, tās izveidota iestāde, speciālās ekonomiskās zonas pārvalde, publiski privātā kapitālsabiedrība, pašvaldības kapitālsabiedrība, kas veic pašvaldības deleģēto pārvaldes uzdevumu izpildi vai ir noslēgusi pakalpojumu līgumu par sabiedrisko pakalpojumu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pie noteikumu projekta 35.1.8. apakšpunkta un, ja nepieciešams, attiecīgi precizēt noteikumu projekta 50. punkta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atbalstu var saņemt šādi projektu iesniedzēji: pašvaldība, tās izveidota iestāde, speciālās ekonomiskās zonas pārvalde, pašvaldības kapitālsabiedrība, kas veic pašvaldības deleģēto pārvaldes uzdevumu izpildi, publiski privāta kapitālsabiedrība;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651/2014 2. panta 130) punktā minēta definīcija "energoinfrastruktūrai", kurai atbalstu var sniegt saskaņā ar regulas Nr. 651/2014 48.pantu, proti, šajā pasākumā atbalsta saņēmējs pirmšķietami attiecībā uz elektroapgādes infrastruktūru būs A/S Sadales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atbildīgās nozares ministrijas – Ekonomikas ministrijas – skaidrojumu A/S "Sadales tīkls" ir dabiskais monopols, un tādā gadījumā uz atbalstu A/S "Sadales tīkls" komercdarbības atbalsta nosacījumi nav jāpiemēro, jo neizpildās tā pazīme par ietekmi uz tirdzniecību un konkurenci. Attiecīgi lūdzam izvērtēt noteikumos paredzētās energoinfrastruktūras piederību, un ņemot vērā skaidroto, precizēt šo noteikumu projekta punktu un papildināt anotāciju ar skaidrojumu. Attiecīgi aicinām precizēt noteikumu projekta 51.3. un 51.4.apakšpunktu.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Regulas Nr. </w:t>
            </w:r>
            <w:r w:rsidR="00000000" w:rsidRPr="00000000" w:rsidDel="00000000">
              <w:rPr>
                <w:rtl w:val="0"/>
              </w:rPr>
              <w:t xml:space="preserve">651/2014</w:t>
            </w:r>
            <w:r w:rsidR="00000000" w:rsidRPr="00000000" w:rsidDel="00000000">
              <w:rPr>
                <w:rtl w:val="0"/>
              </w:rPr>
              <w:t xml:space="preserve"> 56. pantu piemēro projekta iesniedzējiem un sadarbības partneriem vietējās infrastruktūras izveidošanai tikai uz to īpašumā vai valdījumā esošas zemes, kura nav iznomāta vai nav piešķirta apbūves tiesība trešajai personai pirms projekta iesnieguma apstiprināšanas, ievērojot, ka valdījuma tiesības ir iegūtas uz termiņu, kas nav īsāks par pieciem gadiem no dienas, kad veikts projekta noslēguma maksājums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pie noteikumu projekta 39.1.apakšpunkta un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58.5. 4. panta 1. punkta "x" un "cc" apakšpunkta nosacījumi, ka individuālais atbalsts nepārsniedz šajos apakšpunktos noteiktās paziņošanas robežvērtības;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noteikumu projekta apakšpunktu ar atsaucēm uz visiem nepieciešamiem regulas Nr. 651/2014 4. panta apakšpunktiem atbilstoši pasākumā plānotajam.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komercdarbības atbalstu sniedz saskaņā ar regulas Nr. </w:t>
            </w:r>
            <w:r w:rsidR="00000000" w:rsidRPr="00000000" w:rsidDel="00000000">
              <w:rPr>
                <w:rtl w:val="0"/>
              </w:rPr>
              <w:t xml:space="preserve">651/2014</w:t>
            </w:r>
            <w:r w:rsidR="00000000" w:rsidRPr="00000000" w:rsidDel="00000000">
              <w:rPr>
                <w:rtl w:val="0"/>
              </w:rPr>
              <w:t xml:space="preserve"> 56. pantu, sadarbības iestāde nodrošina projekta uzraudzību projekta dzīves ciklā.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uzraudzība projekta dzīves ciklā ir jāveic arī gadījumos, kad </w:t>
            </w:r>
            <w:r w:rsidR="00000000" w:rsidRPr="00000000" w:rsidDel="00000000">
              <w:rPr>
                <w:rtl w:val="0"/>
              </w:rPr>
              <w:t xml:space="preserve">komercdarbības atbalstu sniedz saskaņā ar regulas Nr. 651/2014 48.pantu. Attiecīgi lūdzam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62.4.5. ūdenssaimniecības un siltumapgādes sabiedrisko pakalpojumu sniedzējam piešķirtās ekskluzīvās vai īpašās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projekta apakšpunkta redakciju atbilstoši Komisijas lēmuma par Līguma par Eiropas Savienības darbību 106.panta 2.punkta piemērošanu valsts atbalstam attiecībā uz kompensāciju par sabiedriskajiem pakalpojumiem dažiem uzņēmumiem, kuriem uzticēts sniegt pakalpojumus ar vispārēju tautsaimniecisku nozīmi (2012/21/ES) 4.panta c) apakšpunktam. Vēršam uzmanību, ka līgumā nav jābūt lietotam terminam 'īpašas' vai 'ekskluzīvas' tiesības, bet līgumā jābūt ietvertai īpašo vai ekskluzīvo tiesību būtībai, kā to nosaka iepriekšminētā EK lēmuma 4.panta c)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62.5.6. ūdenssaimniecības un siltumapgādes sabiedrisko pakalpojumu sniedzējam piešķirtās ekskluzīvās vai īpašās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projekta apakšpunkta redakciju atbilstoši Komisijas lēmuma par Līguma par Eiropas Savienības darbību 106.panta 2.punkta piemērošanu valsts atbalstam attiecībā uz kompensāciju par sabiedriskajiem pakalpojumiem dažiem uzņēmumiem, kuriem uzticēts sniegt pakalpojumus ar vispārēju tautsaimniecisku nozīmi (2012/21/ES) 4.panta c) apakšpunktam. Vēršam uzmanību, ka līgumā nav jābūt lietotam terminam 'īpašas' vai 'ekskluzīvas' tiesības, bet līgumā jābūt ietvertai īpašo vai ekskluzīvo tiesību būtībai, kā to nosaka iepriekšminētā EK lēmuma 4.panta c)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 papildu komercdarbības atbalsts ūdenssaimniecības un siltumapgādes sabiedrisko pakalpojumu sniedzējiem un</w:t>
            </w:r>
            <w:r w:rsidR="00000000" w:rsidRPr="00000000" w:rsidDel="00000000">
              <w:rPr>
                <w:i w:val="1"/>
                <w:rtl w:val="0"/>
              </w:rPr>
              <w:t xml:space="preserve"> de minimis</w:t>
            </w:r>
            <w:r w:rsidR="00000000" w:rsidRPr="00000000" w:rsidDel="00000000">
              <w:rPr>
                <w:rtl w:val="0"/>
              </w:rPr>
              <w:t xml:space="preserve"> atbalsts tiek piešķirts projekta īstenošanas laikā, par atbalsta piešķiršanas brīdi uzskata dienu, kad tiek parakstīti attiecīgie civiltiessiskā līguma vai vienošanās par projekta īstenošanu grozījumi.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šajā punktā minētajā gadījumā būs atbalsta kumulācija, lūdzam pārskatīt šajā punktā minēto normu kontekstā ar šo noteikumu 42.punktā un 66.punktā minētajiem nosacījumiem. Ja nepieciešams, lūdzam precizēt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71.7. nodrošina interešu konflikta neesību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prasību, ka arī </w:t>
            </w:r>
            <w:r w:rsidR="00000000" w:rsidRPr="00000000" w:rsidDel="00000000">
              <w:rPr>
                <w:u w:val="single"/>
                <w:rtl w:val="0"/>
              </w:rPr>
              <w:t xml:space="preserve">sadarbības partneris</w:t>
            </w:r>
            <w:r w:rsidR="00000000" w:rsidRPr="00000000" w:rsidDel="00000000">
              <w:rPr>
                <w:rtl w:val="0"/>
              </w:rPr>
              <w:t xml:space="preserve"> paraksta interešu konflikta neesamības apliecinājumu. Vēršam uzmanību, ka finansējuma saņēmējam un sadarbības partnerim, cita starp jānodrošina, ka, īstenojot projektu, neiestājas interešu konflikts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tā pamatojums atbilstu  spējai to izlietot sešu mēnešu laikā saimnieciskā gada ietvaros (piemēram, projekta iesniedzējam ir pabeigts būvdarbu iepirkums vai noslēgts būvdarbu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izvērstu pamatojumu šāda (50%) avansa  maksājuma apmēra nepieciešamībai. Vēršam uzmanību, ka atbilstoši Ministru kabineta 2023. gada 25. aprīļa noteikumiem nr. 205 "Valsts budžeta līdzekļu plānošanas kārtība Eiropas Savienības fondu projektu īstenošanai un maksājumu veikšanai 2021.–2027. gada plānošanas periodā" 10. punktam  maksimālais avansa apjoms nevar pārsniegt 30 % no projektam piešķirtā Eiropas Savienības fonda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punktu izvērtējumu ar visiem noteikumu punktiem atbilstoši Eiropas Komisijas 2014. gada 17. jūnija Regulai (ES) Nr. 651/2014, ar ko noteiktas atbalsta kategorijas atzīst par saderīgām ar iekšējo tirgu, piemērojot Līguma 107. un 108.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Pasākumam pieejamais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sadaļu papildināt ar finansējuma sadales principiem statistisko reģionu ietvaros un projektu ranžēšanas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Ozola-Tīruma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otrās atlases kārtas ietvaros pieejamais finansējums ir ne mazāks kā 77 577 491 </w:t>
            </w:r>
            <w:r w:rsidR="00000000" w:rsidRPr="00000000" w:rsidDel="00000000">
              <w:rPr>
                <w:i w:val="1"/>
                <w:rtl w:val="0"/>
              </w:rPr>
              <w:t xml:space="preserve">euro</w:t>
            </w:r>
            <w:r w:rsidR="00000000" w:rsidRPr="00000000" w:rsidDel="00000000">
              <w:rPr>
                <w:rtl w:val="0"/>
              </w:rPr>
              <w:t xml:space="preserve">, tai skaitā Eiropas Reģionālās attīstības fonda finansējums – 65 940 867 </w:t>
            </w:r>
            <w:r w:rsidR="00000000" w:rsidRPr="00000000" w:rsidDel="00000000">
              <w:rPr>
                <w:i w:val="1"/>
                <w:rtl w:val="0"/>
              </w:rPr>
              <w:t xml:space="preserve">euro</w:t>
            </w:r>
            <w:r w:rsidR="00000000" w:rsidRPr="00000000" w:rsidDel="00000000">
              <w:rPr>
                <w:rtl w:val="0"/>
              </w:rPr>
              <w:t xml:space="preserve"> un nacionālais finansējums – ne mazāks kā 11 636 624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14.2.1. - 14.2.5. apakšpunktā katram plānošanas reģionam pieejamā ERAF finansējuma kopsumma ir 65 940 866, kas par 1 eiro atšķiras no 14.2.apakšpunktā norādītā ERAF finansējuma 65 940 867, lūdzam precizēt finansējumu 14.2.apakšpunktā un anotācijas 1.3. sadaļā "Pašreizējā situācija, problēmas un risinājumi"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Līdz 2025. gada 31. decembrim neizmantoto otrās atlases kārtas Eiropas Reģionālā attīstības fonda finansējumu un finansējumu, kas atbrīvojies pirmās un otrās atlases kārtas projektu īstenošanas rezultātā, novirza trešajai atlases kārtai.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papidlināt anotāciju ar informāciju, vai gadījumā, ja nebūs pieejams elastības finansējums, trešo atlases kārtu plānots izsludināt no neizmantotā finansējuma un finansējuma, kas atbrīvojies pirmās un otrās atlases kārtas projektu īstenošanas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sadarbību ar komersantu kā sadarbības partneri (ja attiecināms) nostiprina ar  sadarbības līgumu (atbilstoši normatīvajiem aktiem par kārtību, kādā Eiropas Savienības struktūrfondu un Kohēzijas fonda vadībā iesaistītās institūcijas nodrošina plānošanas dokumentu sagatavošanu un šo fondu ieviešanu 2021.–2027. gada plānošanas periodā), tajā iekļaujot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projektā paredzēts arī sadarbības partneris, MK noteikumos norāda finansējuma saņēmēja un sadarbības partnera sadarbības pamatprincipus, pienākumus un tiesības, mērķu un rādītāju savstarpējo sasniegšanas dalījumu. Ņemot vērā minēto, lūdzam papildināt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sadarbību ar komersantu kā sadarbības partneri (ja attiecināms) nostiprina ar  sadarbības līgumu (atbilstoši normatīvajiem aktiem par kārtību, kādā Eiropas Savienības struktūrfondu un Kohēzijas fonda vadībā iesaistītās institūcijas nodrošina plānošanas dokumentu sagatavošanu un šo fondu ieviešanu 2021.–2027. gada plānošanas periodā), tajā iekļaujot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punkta redakcijā atsauci uz normatīvo aktu. Vēršam uzmanību, ka nosacījumi par sadarbības līgumu un tajā ietveramo informāciju ir noteikti MK noteikumos "Kārtība, kādā Eiropas Savienības fondu vadībā iesaistītās institūcijas nodrošina šo fondu ieviešanu 2021.–2027.gada plānošanas periodā" ('šobrīd izstrādes stadijā).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35.1.4. atpūtas zonu ierīkošana darbiniekiem un labiekārtojuma elementu uzstādīšana  (videi un personām ar dažādiem funkcionāliem traucējumiem draudzīga apgaismojuma sistēmas izbūve vai esošās apgaismojuma sistēmas renovācija, soliņi un galdi lietošanai ārtelpā, atkritumu tvertnes, velosipēdu novietnes, žogi), vājstrāvu tīklu izbūve vai esošo vājstrāvu tīklu pārbūve, kas nepieciešama ārtelpas atpūtas zonas ierīkošanai un drošības veicināšanai projekta ietvaros attīstītajā ārtelpas atpūtas zonā, tai skaitā videonovērošanas kameras, kas izvietotas ārtelpas atpūtas zonā. Pasākuma ietvaros netiek atbalstītas mazās arhitektūras formas ar māksliniecisko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apgaismojuma sistēma ietver arī elektrotīklu izbūvi vai pārbūvi, lūdzam papildināt punkta redakciju, norādot arī elektrotīklu izbūvi vai pārbūvi.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35.1.4. atpūtas zonu ierīkošana darbiniekiem un labiekārtojuma elementu uzstādīšana  (videi un personām ar dažādiem funkcionāliem traucējumiem draudzīga apgaismojuma sistēmas izbūve vai esošās apgaismojuma sistēmas renovācija, soliņi un galdi lietošanai ārtelpā, atkritumu tvertnes, velosipēdu novietnes, žogi), vājstrāvu tīklu izbūve vai esošo vājstrāvu tīklu pārbūve, kas nepieciešama ārtelpas atpūtas zonas ierīkošanai un drošības veicināšanai projekta ietvaros attīstītajā ārtelpas atpūtas zonā, tai skaitā videonovērošanas kameras, kas izvietotas ārtelpas atpūtas zonā </w:t>
            </w:r>
            <w:r w:rsidR="00000000" w:rsidRPr="00000000" w:rsidDel="00000000">
              <w:rPr>
                <w:b w:val="1"/>
                <w:rtl w:val="0"/>
              </w:rPr>
              <w:t xml:space="preserve">un elektrotīklu izbūve vai esošo elektrotīklu pārbūve, kas nepieciešama ārtelpas atpūtas zonas apgaismojuma ierīkošanai.</w:t>
            </w:r>
            <w:r w:rsidR="00000000" w:rsidRPr="00000000" w:rsidDel="00000000">
              <w:rPr>
                <w:rtl w:val="0"/>
              </w:rPr>
              <w:t xml:space="preserve"> Pasākuma ietvaros netiek atbalstītas mazās arhitektūras formas ar māksliniecisko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Streipa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35.8.1.1. būvprojekta, būvdarbu ieceres dokumentācijas, būvprojekta minimālā sastāvā, apliecinājuma kartes vai paskaidrojuma raksta izstrāde visām projektā paredzētajām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būvniecības regulējumā, lūdzam pievienot paziņojumu par būvniecību kā vienu no ieceres veidiem. Kā arī būvdarbu ieceres dokumentus pārdēvēt par būvniecības ieceres dokumentiem, kā tas ir būvniecības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35.8.1.1. būvprojekta, </w:t>
            </w:r>
            <w:r w:rsidR="00000000" w:rsidRPr="00000000" w:rsidDel="00000000">
              <w:rPr>
                <w:b w:val="1"/>
                <w:rtl w:val="0"/>
              </w:rPr>
              <w:t xml:space="preserve">būvniecības</w:t>
            </w:r>
            <w:r w:rsidR="00000000" w:rsidRPr="00000000" w:rsidDel="00000000">
              <w:rPr>
                <w:rtl w:val="0"/>
              </w:rPr>
              <w:t xml:space="preserve"> ieceres dokumentācijas, būvprojekta minimālā sastāvā, apliecinājuma kartes, paskaidrojuma raksta vai </w:t>
            </w:r>
            <w:r w:rsidR="00000000" w:rsidRPr="00000000" w:rsidDel="00000000">
              <w:rPr>
                <w:b w:val="1"/>
                <w:rtl w:val="0"/>
              </w:rPr>
              <w:t xml:space="preserve">pazīņojuma par būvniecību </w:t>
            </w:r>
            <w:r w:rsidR="00000000" w:rsidRPr="00000000" w:rsidDel="00000000">
              <w:rPr>
                <w:rtl w:val="0"/>
              </w:rPr>
              <w:t xml:space="preserve">izstrāde visām projektā paredzētajām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Streipa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35.8.1.2. energoaudita, ekspertīzes un izpētes izmaksas, ja to veikšana ir priekšnosacījums, lai izstrādātu būvprojektu, būvdarbu ieceres dokumentāciju vai būvprojektu minimālā sastāvā;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būvdarbu ieceres dokumentus pārdēvēt par būvniecības ieceres dokumentiem, kā tas ir būvniecības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35.8.1.2. energoaudita, ekspertīzes un izpētes izmaksas, ja to veikšana ir priekšnosacījums, lai izstrādātu būvprojektu, </w:t>
            </w:r>
            <w:r w:rsidR="00000000" w:rsidRPr="00000000" w:rsidDel="00000000">
              <w:rPr>
                <w:b w:val="1"/>
                <w:rtl w:val="0"/>
              </w:rPr>
              <w:t xml:space="preserve">būvniecības</w:t>
            </w:r>
            <w:r w:rsidR="00000000" w:rsidRPr="00000000" w:rsidDel="00000000">
              <w:rPr>
                <w:rtl w:val="0"/>
              </w:rPr>
              <w:t xml:space="preserve"> ieceres dokumentāciju vai būvprojektu minimālā sastāvā;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Streipa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71.5. informē sadarbības iestādi par ikgadējo enerģijas patēriņu (megavatstundas) trīs gadus pēc projekta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apakšpunktu ar nosacījumu informācijas sniegšanai atbilstoši noteikumu 32.1.apakšpunktam.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71.5. informē sadarbības iestādi par ikgadējo enerģijas patēriņu (megavatstundas) trīs gadus pēc projekta īstenošanas, ja projektā paredzētas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71.5.1. šo noteikumu 35.1.4. un 35.3.2. apakšpunktā minētās esošās apgaismojuma sistēmas renovācijas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71.5.2. šo noteikumu 35.4.1. apakšpunktā minētās ēku pārbūves vai atjaunošanas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71.6. nodrošina informācijas un publicitātes pasākumus saskaņā ar  regulas Nr. 2021/1060 47. pantu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ka  komunikācijas un vizuālās identitātes prasību nosacījumu ievērošanu nodrošina atbilstoši arī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71.6. nodrošina informācijas un publicitātes pasākumus saskaņā ar  regulas Nr. 2021/1060 47. pantu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vadlīnijās "Vadlīnijas Ministru kabineta noteikumu par specifiskā atbalsta mērķa īstenošanu izstrādei Eiropas Savienības fondu 2021.—2027. gada plānošanas periodā" lietoto jēdzienu "komunikācijas un vizuālās identitātes prasību nodrošināšanas nosacījumi", aicinām izvērtēt un pēc nepieciešamības precizēt noteikumu projekta 71.6.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71.6.apakšpunktā aizstāt vārdus un skaitļus "un normatīvajiem aktiem par kārtību, kādā Eiropas Savienības fondu vadībā iesaistītās institūcijas nodrošina šo fondu ieviešanu 2021.–2027. gada plānošanas periodā" ar vārdiem un skaitļiem "un normatīvajiem aktiem,</w:t>
            </w:r>
            <w:r w:rsidR="00000000" w:rsidRPr="00000000" w:rsidDel="00000000">
              <w:rPr>
                <w:u w:val="single"/>
                <w:rtl w:val="0"/>
              </w:rPr>
              <w:t xml:space="preserve"> kas nosaka kārtību</w:t>
            </w:r>
            <w:r w:rsidR="00000000" w:rsidRPr="00000000" w:rsidDel="00000000">
              <w:rPr>
                <w:rtl w:val="0"/>
              </w:rPr>
              <w:t xml:space="preserve">, kādā Eiropas Savienības fondu vadībā iesaistītās institūcijas nodrošina šo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attiecīgo informāciju par informācijas un publicitātes pasākumu nodrošināšanu (komunikācijas un vizuālās identitātes prasību nodrošināšanas nosacījumu ievērošanu), tostarp saskaņā ar attiecīgajiem dokumentiem, norādīt arī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kā 5.1.1.1. pasākuma ietvaros īstenotie projekti un minētās atbalstāmās darbības veicinās  Eiropas Savienības stratēģijā Baltijas jūras reģionam (ESSBJR) noteikto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Buldere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 kādiem līdzekļiem tiks nodrošināta pasākuma rezultātu/rādītāju ilgtspēja vai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Buldere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iekļaut informāciju par inovatīva publiskā iepirkuma prasību piemērošanu 5.1.1.1.pasākumā.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Buldere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"Pašreizējā situācija, problēmas un risinājumi" daļa "Atbalsta apjoms un ar komercdarbības atbalsta saņemšanu saistītie nosacījumi" rindkopā "Komercdarbības atbalsta pārkāpumu risku mazināšanai, noteikumu projektā ietverti ierobežojumi īpašumtiesību veidiem, kādos pieļaujami projekta ieguldījumi. Publiskas personas gadījumā (neattiecas uz publiski privātu kapitālsabiedrību un pašvaldības kapitālsabiedrību, kas veic pašvaldības deleģēto pārvaldes uzdevumu izpildi) projektā plānotās izmaksas, uz kurām nav attiecināmi komercdarbības atbalsta nosacījumi, šī publiskā persona var veikt savā vai citas publiskas personas īpašumā. </w:t>
            </w:r>
            <w:r w:rsidR="00000000" w:rsidRPr="00000000" w:rsidDel="00000000">
              <w:rPr>
                <w:u w:val="single"/>
                <w:rtl w:val="0"/>
              </w:rPr>
              <w:t xml:space="preserve">Savukārt valdījumā esoša īpašuma gadījumā, tikai tādā valdījumā esošā īpašumā, kura īpašnieks ir publiska persona</w:t>
            </w:r>
            <w:r w:rsidR="00000000" w:rsidRPr="00000000" w:rsidDel="00000000">
              <w:rPr>
                <w:rtl w:val="0"/>
              </w:rPr>
              <w:t xml:space="preserve">." dzēst pēdējo teikumu, tādejādi neierobežojot investīcijas ceļu/ ielu infrastruktūrā, uz kuru nav attiecināmi komercdarbības atbalsta nosacījumi,  gadījumos, kad zeme zem inženierbūves ir privātpersonas īpašums.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Ozola-Tīruma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06.07.2023.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06.07.2023.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