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Kriminālsodu izpildes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notiesātais citas smagas, neārstējamas slimības dēļ nav spējīgs turpināt piespriestā soda izpildes, ņemot vērā Latvijas Cietumu slimnīcas ārstu konsultatīvās komisijas atzinumu, brīvības atņemšanas iestāde var rosināt tiesai atbrīvot personu ar smagu, neārstējamu slimību no turpmākās soda izpildes.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 pantu ar iekļautā termina “ārstu konsultatīvā komisija” skaidrojumu, lai nodrošinātu normatīvās tehnikas prasībām atbilstošu terminoloģisko precizitāti un novērstu iespējamas interpretācijas neskaidrības. Vienlaikus, lai stiprinātu tiesību normu terminoloģisko konsekvenci un juridisko noteiktību, aicinām izvērtēt izmantotā termina salāgojamību ar Ārstniecības likuma 1. panta sestajā punktā ietverto terminu “ārstu konsīlijs”.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Ozola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sabiedrības drošības un brīvības atņemšanas iestādes iekšējās drošības  un kārtības apdraudējumu, kā arī lai novērstu pārkāpumu vai noziedzīgu nodarījumu izdarīšanu, brīvības atņemšanas soda izpildes laikā notiesātie tiek izolēti un uzraudzīti. Šī mērķa sasniegšanas nolūkā brīvības atņemšanas soda izpildes laikā notiesātajam precīzi un bez ierunām ir jāpilda šajā likumā noteiktais.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likumprojektā lietotās frāzes “precīzi un bez ierunām” piemērotību, jo šāda leksiska konstrukcija ir emotīvi piesātināta. Iesakām likumprojektā izmantoto frāzi “precīzi un bez ierunām” aizstāt ar juridiski neitrālām formulācijām, piemēram, “ievēro noteiktos pienākumus”, “izpilda likumā noteikto” vai “pakļaujas noteiktajam režīmam”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Ozola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Notiesātajam, atrodoties ārstniecības iestādē ārpus brīvības atņemšanas iestādes, ir atļauts pie sevis glabāt tikai personiskās higiēnas priekšmetus.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Apcietināto un notiesāto personu konvojēšanas kārtībā (TAP 25-TA-103) noteikts: “</w:t>
            </w:r>
            <w:r w:rsidR="00000000" w:rsidRPr="00000000" w:rsidDel="00000000">
              <w:rPr>
                <w:i w:val="1"/>
                <w:rtl w:val="0"/>
              </w:rPr>
              <w:t xml:space="preserve">Ja konvojējamai personai nepieciešams regulāri lietot medikamentus, ko noteikusi ārstniecības persona, tos konvojējamai personai izsniedz necaurredzamā iepakojumā kopā ar ārstniecības personas izziņu.</w:t>
            </w:r>
            <w:r w:rsidR="00000000" w:rsidRPr="00000000" w:rsidDel="00000000">
              <w:rPr>
                <w:rtl w:val="0"/>
              </w:rPr>
              <w:t xml:space="preserve">” Ņemot vērā šo regulējumu, ieteicams izvērtēt nepieciešamību papildināt attiecīgo normu ar noteikumu, kas skaidri paredz, ka atrodoties ārstniecības iestādē ārpus brīvības atņemšanas iestādes, personai ir atļauts glabāt personiskās higiēnas līdzekļus un medikamentus noteiktajos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Ozola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25-TA-931</w:t>
    </w:r>
    <w:r>
      <w:br/>
    </w:r>
    <w:r w:rsidR="00000000" w:rsidRPr="00000000" w:rsidDel="00000000">
      <w:rPr>
        <w:rtl w:val="0"/>
      </w:rPr>
      <w:t xml:space="preserve">Izdrukāts 27.08.2025.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25-TA-931</w:t>
    </w:r>
    <w:r>
      <w:br/>
    </w:r>
    <w:r w:rsidR="00000000" w:rsidRPr="00000000" w:rsidDel="00000000">
      <w:rPr>
        <w:rtl w:val="0"/>
      </w:rPr>
      <w:t xml:space="preserve">Izdrukāts 27.08.2025.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Atzinumi_25-TA-931.docx</dc:title>
</cp:coreProperties>
</file>

<file path=docProps/custom.xml><?xml version="1.0" encoding="utf-8"?>
<Properties xmlns="http://schemas.openxmlformats.org/officeDocument/2006/custom-properties" xmlns:vt="http://schemas.openxmlformats.org/officeDocument/2006/docPropsVTypes"/>
</file>