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otrās kārtas kopējo attiecināmo finansējumu veido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Atveseļošanas fonda finansējums un nacionālais finansējums – pašvaldības finansējums pievienotās vērtības nodokļa izmaksu segšanai, kā arī pašvaldības un privātais finansējums investīcijas otrās kārtas projektu atbalstāmo darbību īstenošanai, ja to kopējās izmaksas pārsniedz investīcijas otrās kārtas projektiem pieejamo Atveseļošanas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skaidrot un precizēt nosacījumu "</w:t>
            </w:r>
            <w:r w:rsidR="00000000" w:rsidRPr="00000000" w:rsidDel="00000000">
              <w:rPr>
                <w:u w:val="single"/>
                <w:rtl w:val="0"/>
              </w:rPr>
              <w:t xml:space="preserve">ja to kopējās izmaksas </w:t>
            </w:r>
            <w:r w:rsidR="00000000" w:rsidRPr="00000000" w:rsidDel="00000000">
              <w:rPr>
                <w:rtl w:val="0"/>
              </w:rPr>
              <w:t xml:space="preserve">pārsniedz investīcijas otrās kārtas projektiem pieejamo Atveseļošanas fonda finansējumu", jo no noteikumu projekta 11.punkta kopumā nav skaidrs, kas ir minētās "kopējās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finansējuma regulējumam jābūt skaidram un nepārptoamam arī, piemēram, noteikumu projketa 41.1.apakšpunkta kontekstā. Vēršam uzmanību, ka saskaņā ar 41.1.apakšpunktu finansējuma saņēmējam ir pienākums nodrošināt, ka projekta ietvaros atbalstāmās darbības un to izmaksas nav finansētas, netiek finansētas vai līdzfinansētas, kā arī tās nav plānots finansēt vai līdzfinansēt no citiem valsts, pašvaldības vai ārvalstu finanšu palīdzības instrumentiem. Savukārt noteikumu projekta 11., kā arī 12.punkts pašreizējā redakcijā nerada skaidru priekšstatu, kas tiks uzskatīts par atļautu vai neatļautu valsts un pašvaldības līdzfinansējumu.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veic projektu iesniegumu atlasi saskaņā ar investīcijas otrās kārtas projektu iesniegumu atlases nolikumu. Investīcijas otrās kārtas projektu iesniegumu atlases nolikumu izstrādā un pēc saskaņošanas ar ministriju apstiprina aģentūra, kuras lēmums par tā apstiprināšanu nav apstrīdams un pārsūdzams.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"kuras lēmums par tā apstiprināšanu nav apstrīdams un pārsūdzams" vai pamatot šāda regulējuma iekļaušanu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Investīcijas otrās kārtas projektu iesniegumu atlases nolikumā iekļauj informāciju par projektu iesniegumu atlases izsludināšanu, pagarināšanu, pārtraukšanu vai izbeigšanu, projekta iesnieguma vērtēšanas kritērijus, kas noteikti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projektu iesniegumu vērtēšanas kritēriju piemērošanas skaidrojumus, kurus izstrādā ministrija, un līguma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17.punktu, jo nav skaidrs, kāpēc atlases nolikumā jāiekļauj noteikumi (kritēriji), kas jau tiek noteikti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iestādes apstiprinātais nolikums nav ārējs normatīvais akts, kas būtu saistošs privātpersonām (tāpat arī iestādēm, kas neatrodas nolikumu izdevušās iestādes padotībā). Līdz ar to nolikumā nevar iekļaut privātpersonām vispārsaistošus projektu iesniegumu atlases nosacījumus. Ievērojot minēto, aicinām izvērtēt noteikumu projekta normas (16.-19.punktu), nodrošinot, ka visas projektu atlasei būtiskās prasības ir iekļautas noteikkumu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Aģentūra, pamatojoties uz projektu iesniegumu vērtēšanas komisijas sniegto atzinumu un ievērojot projekta iesniedzēja juridisko statusu, lēmumu par projekta iesnieguma apstiprināšanu, apstiprināšanu ar nosacījumu vai noraidīšanu pieņem triju mēnešu laikā no projektu iesniegumu iesniegšanas termiņa beigām, izdodot administratīvo aktu vai pieņemot pārvaldes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25.punktu. Vēršam uzmanību, ka administratīvā akta izdošanā ir jāievēro Administratīvā procesa likuma (APL) 64.pantā noteiktie administratīvā akta izdošanas termiņi. Garāks termiņš var tikt noteikts likumā, tomēr šobrīd Likuma par budžetu un finanšu vadību 19.</w:t>
            </w:r>
            <w:r w:rsidR="00000000" w:rsidRPr="00000000" w:rsidDel="00000000">
              <w:rPr>
                <w:vertAlign w:val="superscript"/>
                <w:rtl w:val="0"/>
              </w:rPr>
              <w:t xml:space="preserve">3</w:t>
            </w:r>
            <w:r w:rsidR="00000000" w:rsidRPr="00000000" w:rsidDel="00000000">
              <w:rPr>
                <w:rtl w:val="0"/>
              </w:rPr>
              <w:t xml:space="preserve"> pants neparedz no APL atšķirīgu lēmumu pieņemšanas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administratīvais akts ir viens no pārvaldes lēmuma veidiem (sk. Valsts pārvaldes iekārtas likuma 1.panta 7.punktu), līdz ar to noteikumu projekta 25.punktā, kā arī 29.punktā minētais aģentūras pieņemto lēmumu iedalījums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administratīvajos aktos un pārvaldes lēmumos nav korekts.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Investīcijas otrās kārtas projekta iesniedzējs viena mēneša laikā var apstrīdēt aģentūras pieņemto pārvaldes lēmumu vai administratīvo aktu Finanšu ministrijā.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29.punktu atbilstoši Ministru kabineta 2009. gada 3. februāra noteikumu Nr. 108 "Normatīvo aktu projektu sagatavošanas noteikumi" 3.2.apakšpunkta prasībām, ņemot vērā, ka administratīvā akta apstrīdēšanas termiņi ir noteikti APL.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administratīvais akts ir viens no pārvaldes lēmuma veidiem (sk. Valsts pārvaldes iekārtas likuma 1.panta 7.punktu), līdz ar to noteikumu projekta 29.punktā minētais aģentūras pieņemto lēmumu iedalījums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administratīvajos aktos un pārvaldes lēmumos nav korekts.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otrās kārtas kopējo attiecināmo finansējumu veido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Atveseļošanas fonda finansējums un nacionālais finansējums – pašvaldības finansējums pievienotās vērtības nodokļa izmaksu segšanai, kā arī pašvaldības un privātais finansējums investīcijas otrās kārtas projektu atbalstāmo darbību īstenošanai, ja to kopējās izmaksas pārsniedz investīcijas otrās kārtas projektiem pieejamo Atveseļošanas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terminu "attiecināmais finansējums" un nepieciešamības gadījumā svītrot vārdu "attiecināmais", ņemot vērā, ka šo terminu parasti izmanto, lai apzīmētu izmaksu pozīcijas, ko var finansēt no valsts un Eiropas fondu līdzekļiem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15.12.2022. 22.02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15.12.2022. 22.02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Atzinumi_22-TA-3345.docx</dc:title>
</cp:coreProperties>
</file>

<file path=docProps/custom.xml><?xml version="1.0" encoding="utf-8"?>
<Properties xmlns="http://schemas.openxmlformats.org/officeDocument/2006/custom-properties" xmlns:vt="http://schemas.openxmlformats.org/officeDocument/2006/docPropsVTypes"/>
</file>