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19. punktā noteikto atbalstāmo darbību īstenošanai viena mājokļa vides piekļūstamības nodrošināšanas izmaksas indikatīvi nepārsniedz 18 299 </w:t>
            </w:r>
            <w:r w:rsidR="00000000" w:rsidRPr="00000000" w:rsidDel="00000000">
              <w:rPr>
                <w:i w:val="1"/>
                <w:rtl w:val="0"/>
              </w:rPr>
              <w:t xml:space="preserve">euro</w:t>
            </w:r>
            <w:r w:rsidR="00000000" w:rsidRPr="00000000" w:rsidDel="00000000">
              <w:rPr>
                <w:rtl w:val="0"/>
              </w:rPr>
              <w:t xml:space="preserve">, neieskaitot pievienotās vērtības nodokļa izmaksas. Projekta iesniedzējs var pārdalīt kopējo Atveseļošanas fonda finansējumu starp mājokļiem, atkāpjoties no Atveseļošanas fonda finansējuma apmēra vienam mājoklim, bet nepārsniedzot kopējo projekta iesniedzējam pieejamo Atveseļošanas fonda finansējuma kopsummu un nemainot projektā paredzēto mērķa grupas personu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ierobežojums viena mājokļa pielāgošanai noteikumu projekta 11.punktā ir noteikts lielāks, nekā šobrīd pieejamais Atveseļošanas fonda finansējums (dalot uz sasniedzamā rādītāja vienu vienību), lūdzam papildināt noteikumu projektu ar regulējumu, kā sadalās projektos finansējums dalījumā pa avotiem, ņemot vērā, ka šobrīd vēl nav pieņemts EK lēmums par papildus Atveseļošanas fonda finansējuma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izvērtē šo noteikumu 15.1. apakšpunktā minētos dokumentus un, ņemot vērā vadlīnijas kritēriju piemērošanai mērķa grupas personas un tās mājokļa atbilstības noteikšanai (3. pielikums),  pārliecinās par mērķa grupas personas un tās mājokļa atbilstību un sagatavo  mērķa grupas personas un tās mājokļa atbilstības izvērtējumu (4.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15.2. apakšpunktu, norādot termiņu kāda tiek izvērtēts iesniegums un dalību apliecinošie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pieņem lēmumu par mērķa grupas personas iekļaušanu pasākumā vai atteikumu iekļaut personu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15.6. apakšpunktu, norādot termiņu kādā tiek pieņemts lēmums par personas iekļaušanu pasākumā vai atteikumu.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izmaksas, kas radušās šo noteikumu 19. punktā atbalstāmo darbību īstenošanai un pārsniedz līgumā noteikto projekta Atveseļošanas fonda finansējuma apmēru, taču tās ir iekļaujamas projektā kā pašvaldības budžeta finansējums vai privātais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22.3.apakšpunktu ar nosacījumu, ka līdzfinansējums projekta var tikt iekļauts tikai gadījumā, ja tas ir obligāti nepieciešams investīcijas tiešā mērķa sasniegšanai un bez tā nav iespējams sasniegt investīcijas mērķi. Vienlaikus, lūdzam skaidrot, kāda veida līdzfinansējums tiek plānots - vai tiek paredzēts pašvaldības līdzfinansējums vai mērķa grupas veikts personīgs ieguldījums.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nodrošināt atbalstu viena mājokļa pielāgošanai personām ar invaliditāti, kurām ir kustību traucējumi, uzlabojot piekļuvi nodarbinātībai un pakalpojumiem un tādējādi sekmējot cilvēktiesības un dzīves kvalitāti.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2. punktu , lai nerastos interpretācijas iespējas un būtu nepārprotami skaidrs, ka personai </w:t>
            </w:r>
            <w:r w:rsidR="00000000" w:rsidRPr="00000000" w:rsidDel="00000000">
              <w:rPr>
                <w:rtl w:val="0"/>
              </w:rPr>
              <w:t xml:space="preserve">projekta ietvaros pielāgo tikai vienu mājokli, nevis, ka visa projekta mērķis ir pielāgot vienu mājokli.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2022. gada 30. septembrim – konkrētas mērķa grupas izvēle mājokļa vides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atskaites punkta nosaukumu atbilstoši Eiropas Padomes 2021.gada 6.jūlija lēmuma par Latvijas Atveseļošanas fonda plāna izvērtējuma apstiprināšanu (turpmāk - CID) pielikumam un Atveseļošanas fonda plāna darbības kārtībai, par kuru vienojas Eiropas Komisija un Latvija (turpmāk- DK): “Konkrētas mērķgrupas izvēle mājokļa fiziskās pieejamības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2022. gada 30. septembrim – konkrētas mērķa grupas izvēle mājokļa </w:t>
            </w:r>
            <w:r w:rsidR="00000000" w:rsidRPr="00000000" w:rsidDel="00000000">
              <w:rPr>
                <w:b w:val="1"/>
                <w:rtl w:val="0"/>
              </w:rPr>
              <w:t xml:space="preserve">fiziskās </w:t>
            </w:r>
            <w:r w:rsidR="00000000" w:rsidRPr="00000000" w:rsidDel="00000000">
              <w:rPr>
                <w:rtl w:val="0"/>
              </w:rPr>
              <w:t xml:space="preserve">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būvdarbu līgumu noslēgšana, lai personām ar invaliditāti pielāgotu mājokļus;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atskaites punkta nosaukumu atbilstoši CID pielikumam un DK: “Darba līgumu noslēgšana, lai personām ar invaliditāti pielāgotu mājokļus”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2023. gada 30. septembrim – </w:t>
            </w:r>
            <w:r w:rsidR="00000000" w:rsidRPr="00000000" w:rsidDel="00000000">
              <w:rPr>
                <w:b w:val="1"/>
                <w:rtl w:val="0"/>
              </w:rPr>
              <w:t xml:space="preserve">Darba </w:t>
            </w:r>
            <w:r w:rsidR="00000000" w:rsidRPr="00000000" w:rsidDel="00000000">
              <w:rPr>
                <w:rtl w:val="0"/>
              </w:rPr>
              <w:t xml:space="preserve">līgumu noslēgšana, lai personām ar invaliditāti pielāgotu mājokļus;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mērķrādītājs – līdz 2024. gada 31. decembrim – nodrošināta pieejamība mājokļa videi 259 personām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mērķrādītāja nosaukumu atbilstoši CID pielikumam un DK: “Nodrošināta pieejamība mājokļa videi personām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mērķrādītājs – līdz 2024. gada 31. decembrim – nodrošināta pieejamība mājokļa videi personām ar invaliditāti </w:t>
            </w:r>
            <w:r w:rsidR="00000000" w:rsidRPr="00000000" w:rsidDel="00000000">
              <w:rPr>
                <w:b w:val="1"/>
                <w:rtl w:val="0"/>
              </w:rPr>
              <w:t xml:space="preserve">– 259</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projekta iesniedzēja sagatavots anonimizēts atbalsta saņēmēju saraksts un lēmuma par personas iekļaušanu mērķa grupas sarakstā kopija;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šobrīd, atbilstoši CID un DK aprakstam, plānots, ka Labklājības ministrija pieņem sarakstu ar 259 personām, kas saņems atbalstu, un par šo ir ierosināti grozījumi, kas vēl nav apstiprināti.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7.1.2. apakšpunktā minētā atskaites punkta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8.2.1. un 8.3.1. apakšpunktā un noteikumu projekta anotācijā nav nepieciešami precizējumi, ņemot vērā, ka vides pielāgojumi mājoklī var tikt veikti arī īstenojot šo noteikumu projekta 19.4. apakšpunktā noteiktās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finansējuma saņēmēja sagatavots pārskats, kurā ietverta informācija par plānotajiem mājokļu vides pielāgošanas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viennozīmīgai izpratnei precizēt, vai ziņas jāsniedz atsevišķi par katru pielāgojamo mājokli.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Atveseļošanas fonda finansējums ir 3 400 000 </w:t>
            </w:r>
            <w:r w:rsidR="00000000" w:rsidRPr="00000000" w:rsidDel="00000000">
              <w:rPr>
                <w:i w:val="1"/>
                <w:rtl w:val="0"/>
              </w:rPr>
              <w:t xml:space="preserve">euro</w:t>
            </w:r>
            <w:r w:rsidR="00000000" w:rsidRPr="00000000" w:rsidDel="00000000">
              <w:rPr>
                <w:rtl w:val="0"/>
              </w:rPr>
              <w:t xml:space="preserve"> un pēc Eiropas Komisijas lēmuma par papildu Atveseļošanas fonda finansējuma pieejamību pasākuma Atveseļošanas fonda finansējums ir 4 739 441</w:t>
            </w:r>
            <w:r w:rsidR="00000000" w:rsidRPr="00000000" w:rsidDel="00000000">
              <w:rPr>
                <w:i w:val="1"/>
                <w:rtl w:val="0"/>
              </w:rPr>
              <w:t xml:space="preserve"> euro</w:t>
            </w:r>
            <w:r w:rsidR="00000000" w:rsidRPr="00000000" w:rsidDel="00000000">
              <w:rPr>
                <w:rtl w:val="0"/>
              </w:rPr>
              <w:t xml:space="preserve">. Papildus pasākuma finansējumu veido valsts budžeta finansējums pievienotās vērtības nodokļa segšanai indikatīvi 995 283 </w:t>
            </w:r>
            <w:r w:rsidR="00000000" w:rsidRPr="00000000" w:rsidDel="00000000">
              <w:rPr>
                <w:i w:val="1"/>
                <w:rtl w:val="0"/>
              </w:rPr>
              <w:t xml:space="preserve">euro</w:t>
            </w:r>
            <w:r w:rsidR="00000000" w:rsidRPr="00000000" w:rsidDel="00000000">
              <w:rPr>
                <w:rtl w:val="0"/>
              </w:rPr>
              <w:t xml:space="preserve">, kā arī pašvaldības budžeta finansējums un privātais finansējums gadījumos, ja projekta izmaksas pārsniedz pieejamo Atveseļošanas fonda finansējumu. Pēc pozitīva Eiropas Komisijas viedokļa par Atveseļošanas un noturības mehānisma fonda plāna grozījumiem saņemšanas un līdz Eiropas Komisijas lēmumam par Atveseļošanas fonda finansējuma pieejamību  finansējumu 1 339 441 </w:t>
            </w:r>
            <w:r w:rsidR="00000000" w:rsidRPr="00000000" w:rsidDel="00000000">
              <w:rPr>
                <w:i w:val="1"/>
                <w:rtl w:val="0"/>
              </w:rPr>
              <w:t xml:space="preserve">euro</w:t>
            </w:r>
            <w:r w:rsidR="00000000" w:rsidRPr="00000000" w:rsidDel="00000000">
              <w:rPr>
                <w:rtl w:val="0"/>
              </w:rPr>
              <w:t xml:space="preserve"> apmērā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 noteikumu projekta 10. punkta otro un trešo teikumu ņemot vērā, ka šajos teikumos tiek runāts par papildus finansējumu pasākumam, kas nav Atveseļošanas un noturības mehānisma fonda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19. punktā noteikto atbalstāmo darbību īstenošanai viena mājokļa vides piekļūstamības nodrošināšanas izmaksas indikatīvi nepārsniedz 18 299 </w:t>
            </w:r>
            <w:r w:rsidR="00000000" w:rsidRPr="00000000" w:rsidDel="00000000">
              <w:rPr>
                <w:i w:val="1"/>
                <w:rtl w:val="0"/>
              </w:rPr>
              <w:t xml:space="preserve">euro</w:t>
            </w:r>
            <w:r w:rsidR="00000000" w:rsidRPr="00000000" w:rsidDel="00000000">
              <w:rPr>
                <w:rtl w:val="0"/>
              </w:rPr>
              <w:t xml:space="preserve">, neieskaitot pievienotās vērtības nodokļa izmaksas. Projekta iesniedzējs var pārdalīt kopējo Atveseļošanas fonda finansējumu starp mājokļiem, atkāpjoties no Atveseļošanas fonda finansējuma apmēra vienam mājoklim, bet nepārsniedzot kopējo projekta iesniedzējam pieejamo Atveseļošanas fonda finansējuma kopsummu un nemainot projektā paredzēto mērķa grupas personu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vārdu "indikatīvi", lai nerastos interpretācijas iespējas un izmaksas tomēr varētu būt lielākas.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pieņem mērķa grupas personas vai mērķa grupas personas likumiskā vai pilnvarotā pārstāvja aizpildītu iesniegumu (2. pielikums), kuram pievienoti mērķa grupas personas un tās mājokļa atbilstības dalībai pasākumā apliecinoši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15.1.apakšpunktu norādot, ka ne tikai iesnieguma formāts, bet arī iesniedzamo dokumentu uzskaitījums ir pieejams šo noteikumu pielikumā. Šobrīd no šīs redakcijas ir saprotams, ka jāaizpilda 2.pielikums, bet par iesniedzamajiem dokumentiem nav norādes.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 mērķa grupas personas vai mērķa grupas personas likumiskā vai pilnvarotā pārstāvja aizpildītu iesniegumu, kuram pievienoti mērķa grupas personas un tās mājokļa atbilstības dalībai pasākumā apliecinoši dokumenti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pieņem mērķa grupas personas vai mērķa grupas personas likumiskā vai pilnvarotā pārstāvja aizpildītu iesniegumu (2. pielikums), kuram pievienoti mērķa grupas personas un tās mājokļa atbilstības dalībai pasākumā apliecinoši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nepieciešams norādīt termiņu, kādā pašvaldības sociālais dienests pieņem mērķa grupas personu iesniegumus par dalību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būvekspertīze, būvuzraudzība un autoruzraudzība;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ierobežojumus procentos (%) no attiecināmajām izmaksām attiecībā uz šo izmaksu attiecināmības apjomiem, lai mērķorientētāk nodrošinātu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vides pieejamības konsultācijas un būvspeciālistu konsultācijas.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ierobežojumus procentos no attiecināmajām izmaksām attiecībā uz šo izmaksu attiecināmības apjomiem, lai mērķorientētāk nodrošinātu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šo noteikumu 19.1. apakšpunktā minētās atbalstāmās darbības īstenošanai finansējuma saņēmējs plāno kā vienu izmaksu pozīciju 10 procentu apmērā no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10% apmērs jākontrolē no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izmaksas, kas radušās šo noteikumu 19. punktā atbalstāmo darbību īstenošanai un pārsniedz līgumā noteikto projekta Atveseļošanas fonda finansējuma apmēru, taču tās ir iekļaujamas projektā kā pašvaldības budžeta finansējums vai privātais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aiz vārdiem "pašvaldības budžeta finansējums" ar teikuma daļu "ja to paredz pašvaldības saistošie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īstenošanas un uzraudzības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ar lēmumu apstrīdēšanas kārtību gan attiecībā uz projektu iesniedzējiem, gan attiecībā uz mērķa grupas uzlabojamās infrastruktūras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projekta īstenošanai un uzraudzībai nepieciešamo informāciju projekta iesniedzējs vai finansējuma saņēmējs, ministrija, Centrālā finanšu un līgumu aģentūra (turpmāk – aģentūra)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vārdus "projekta iesniedzējs vai", ņemot vērā, ka informāciju projekta īstenošanas laikā sniedz finansējuma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ministrija 10 darbdienu laikā pēc šo noteikumu spēkā stāšanās projekta iesniedzējam nosūta uzaicinājumu iesniegt projekta veidlapu, informējot aģentūru par ministrijas nosūtītajiem uzaicinājumiem un aicinot aģentūru veikt šo noteikumu 24.3. apakšpunktā un 32. punktā minētās darbības. Uzaicinājumā norāda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ka uzaicinājums iesniegt projekta iesniegumu tiek nosūtīts tiem projekta iesniedzējiem, kas noteikti noteikumu projekta 1.pielikumā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projekta iesniedzējam pieejamo pašvaldības kvotu;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projekta iesniedzējam pieejamā pašvaldības kvota saskaņā ar šo noteikumu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projekta iesniedzējs 80 darbdienu laikā pēc šo noteikumu 24.1. apakšpunktā minētā uzaicinājuma saņemšanas iesniedz vienu projekta veidlapu par visiem mājokļiem, kuros plānots nodrošināt vides pielāgošanu attiecīgajā pašvaldībā, pievienojot mērķa grupas personu anonimizēto sarakstu un lēmuma par mērķa grupas personas iekļaušanu šajā sarakstā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iesniedzot projektu tā ietvaros jābūt pievienotam: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Pašvaldības apliecinājumam par informētību attiecībā uz interešu konflikta jautājumu regulējumu un to integrāciju iekšējās kontroles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Pašvaldībā apstiprinātai kārtībai, kādā tiek pieņemts lēmums, t.sk. sociālajā dienestā, par atbalsta piešķiršanu anonimizētajā sarakstā minētajām personām (procesa, procedūras apraksts, kas apliecina, ka process ir bijis caurspīdīgs, vienlīdzīgs, ka ir vērtēti dubultā finansēšanas riski, ka un kā gūta pārliecība, ka netiek sniegts atbalsts saimnieciskās darbības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Apliecinājums par finanšu pieejamību projekta īstenošanai (ja attiecināms), jo īpaši, ja iesniedzējs-īstenotājs ir pašvaldības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ka projekta iesniedzējs iesniedz projektu nevis veidlapu, jo projekti šobrīd ir jāiesniedz e-vidē nevis kā MS Word vai tml.dokuments.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24.3.1. 20 darbdienu laikā pēc šo noteikumu 24.2. apakšpunktā minētās projekta veidlapas saņemšanas pārliecinās par projekta veidlapas atbilstību šo noteikumu 24.1. apakšpunktā minētajā uzaicinājumā iekļautajai informācijai un šo noteikumu nosacījumiem, kā arī pārliecinās, ka uz projekta iesniedzēju nav attiecināmi Eiropas Parlamenta un Padomes Regulas (ES, Euratom) Nr.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24.3.1.apakšpunkta redakcijas beigu daļu, paredzot, ka izslēgšanas nosacījumu pārbaudes apjoms ir plašāks, proti, izslēgšanas nosacījumi ir attiecināmi ne tikai uz projekta iesniedzēju, bet arī uz  projekta iesniedzēja valdes vai padomes locekli vai prokūristu, vai personu, kura ir pilnvarota pārstāvēt projekta iesniedzēju ar filiāli saistītās darbībās, ar tādu prokurora priekšrakstu par sodu vai tiesas spriedumu, kas stājies spēkā un kļuvis neapstrīdams un nepārsūdzams (skat. Eiropas Savienības fondu 2021.-2027.gada plānošanas perioda vadības likuma 22.pantu) un pārceļot to tehniski uz 24.3.1.apakšpunkta sākuma daļu, jo primāri jāpārliecinās, vai iesniedzējs nav izslēdzams, un tikai tad jāskatās pārējais, proti, 24.1.apakšpunkta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skaidrot, ka izslēgšanas nosacījumu pārbaude ir attiecināma uz projekta iesniedzējiem, kas ir privāto tiesību juridiskas,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ka primāri aģentūra pārliecinās, vai atbilst uzaicinājumā norādītajai info, jo šī ir ierobežota projektu iesniegumu atlase, kur pēc būtības izvērtējums par atbilstību no ministrijas ir veikts. Aģentūrai nebūtu vēlreiz jāpārliecinās, vai ir kapacitāte, vai korekti veikta gala labuma guvēja atlase. Ja jāvērtē pēc būtības, tad būtu jābūt kritērijiem, cita veida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“…pārliecinās, ka uz projekta iesniedzēju vai personu, kura ir projekta iesniedzēja valdes vai padomes loceklis vai prokūrists, vai personu, kura ir pilnvarota pārstāvēt projekta iesniedzēju ar filiāli saistītās darbībās, ar tādu prokurora priekšrakstu par sodu vai tiesas spriedumu, kas stājies spēkā un kļuvis neapstrīdams un nepārsūdzams, nav attiecināmi Eiropas Parlamenta un Padomes Regulas (ES, Euratom) Nr.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24.3.2. piecu darbdienu laikā pēc šo noteikumu 24.3.1. apakšpunktā minēto darbību veikšanas un prasību izpildes nosūta līgumu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Atveseļošanas un noturības mehānisma gadījumā projektu iesniegumu atlases un vērtēšanas kārtību, tostarp izpildes termiņus nosaka iekšējā normatīvā aktā saskaņā ar Valsts pārvaldes iekārtas likuma 72. panta pirmās daļas 1. punktu un saskaņā ar Ministru kabineta 2021. gada 7. septembra noteikumu Nr. 621 “Eiropas Savienības Atveseļošanas un noturības mehānisma plāna īstenošanas un uzraudzības kārtība” 9. punktu. Lai novērstu iespējamo potenciālo tiesību normu kolīziju (piemēram, iekšējo normatīvo aktu grozījumu gadījumā), lūdzam svītrot Ministru kabineta noteikumu projekta 24.3.2. apakšpunktā noteikto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24.3.2. piecu darbdienu laikā pēc šo noteikumu 24.3.1. apakšpunktā minēto darbību veikšanas un prasību izpildes nosūta līgumu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12. punktā definētos projekta iesniedzējus, lūdzam papildināt noteikumu projekta 24.3.2. apakšpunktu ar vārdiem "vai vienošanos" aiz vārda "līgumu". Attiecīgums precizējumus lūdzam veikt arī turpmāk tekstā, kur tas attiecināms.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24.3.3. lūdz projekta iesniedzēju veikt precizējumus projekta veidlapā, nosakot precizējumu veikšanas termiņu, ja projekta veidlapa neatbilst šo noteikumu 24.3.1.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aģentūrai ir tiesības lūgt precizēt ne tikai projektā norādīto informāciju, bet arī papildus pievienotajos dokumentos pieejamo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24.3.3. lūdz projekta iesniedzēju veikt precizējumus projekta veidlapā, nosakot precizējumu veikšanas termiņu, ja projekta veidlapa neatbilst šo noteikumu 24.3.1.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cik reizes iespējams precizēt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24.3.4. ja projekta iesniedzējs nav precizējis projekta veidlapu vai nav iesniedzis to aģentūras norādītajā termiņā vai arī ja projekta iesniedzējs atbilst kādam no izslēgšanas kritērijiem, informē projekta iesniedzēju, ka līgums netiks 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ka prioritāri izslēdzam, ja neatbilst izslēgšanas nosacījumiem, sekundāri tikai ir pārējais. Vienlaikus lūdzu precizēt, ka ne tikai precizējumi PI datu laukos, bet arī papildus iesniegtajos dokumentos, piem., pašvaldības lēmumā, aģentūrai ir tiesības lūgt 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27.2.2. aģentūra līgumā noteiktajā kārtībā pārbauda šo noteikumu 27.2.1. apakšpunktā minēto starpposma maksājuma pieprasījumu un, ja aģentūrai nav iebildumu pret starpposma maksājuma pamatojumu, veic starpposma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aģentūra veic iekšējās kontroles sistēmas pārbaudi, kā arī izlases viedā pārliecinās par gala labuma guvēja  atbilstību MK noteikuma projektā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29.15. nodrošina informācijas un publicitātes pasākumus saskaņā ar Regulas Nr. 2021/241 34. pantu un Eiropas Komisijas un Latvijas Republikas Atveseļošanas un noturības mehānisma finansēšanas nolīguma 10. pantu, kā arī normatīvajos aktos par Atveseļošanas fonda plāna īstenošanas un uzraudzības kārtību noteiktās publicitātes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"kā arī normatīvajos aktos par Atveseļošanas fonda plāna īstenošanas un uzraudzības kārtību noteiktās publicitātes prasības.". Vēršam uzmanību, ka publicitātes prasības ir noteiktas Eiropas Savienības fondu 2021.–2027. gada plānošanas perioda un Atveseļošanas fonda komunikācijas un dizaina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29.16. uzkrāj informāciju par atbalstu saņēmušām šo noteikumu 4. punktā minētajām mērķa grupas personām, lai nodrošinātu Regulas Nr. 2021/241, ar ko izveido Atveseļošanas un noturības mehānismu, 22. panta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"ar ko izveido Atveseļošanas un noturības mehānismu", ņemot vērā iepriekš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aģentūra līgumā noteiktā kārtībā pārbauda iesniegto projekta grozījumu lietderību, pamatotību un nepieciešamību, bet plānoto progresa pārskatu iesniegšanas grafika vai iepirkumu plāna grozījumus pieņem zināšanai vai informē finansējuma saņēmēju par nepieciešamajiem precizējumiem, nosakot arī termiņu precizējumu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CFLA Atveseļošanas un noturības mehānisma projektos neveic iepirkumu plānu pārbaudi, lūdzam svītrot no noteikumu projekta 30.2. apakšpunkta vārdus “vai iepirkumu plāna”.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ministrijas pienākumu uzskaitījumu ar pienākumu, ka: “nodrošina konsultatīvo un metodoloģisko atbalstu projekta iesniedzējiem, t.sk. pirms projektu iesniegšanas aģentūrā pārliecinoties par projektu iesniedzēju un iesniegumu atbilstību atbalsta programmas nosacījumiem”. Papildinājums ir lūgts, ņemot vērā, ka atbalsts tiek sniegts ierobežota projektu iesniegumu atlases formātā, kā arī ņemot vērā iepriekšējās kārtas pieredzi, kur konstatētas kapacitātes problēmas, paviršības, uz kurām jau varētu vērst uzmanību, šo pienākumu lūdzam izcelt, proti, ka lūdzam tomēr (lai arī trūkst resursu) pārliecināties par atlasīto projekta iesniedzēju administratīvo, finanšu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noteikumi stājas spēkā nākamajā dienā pēc to izsludināšanas, ja pašā tiesību aktā nav noteikts cits tā spēkā stāšanās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Pamatojuma sadaļā minētā atsauce uz MK protokollēmumu ir par izskatīšanu, nevis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jau proaktīvi kā vajadzētu pašvaldībām, to sociālajiem dienestiem kontrolēt (publiskās datu bāzes, apliecinājumi, kas jāiesniedz) attiecībā uz anotācijas tekstu: "Savukārt gadījumā, ja telpā tiek veikta saimnieciskā darbība, tad atbilstoši būvniecības jomu reglamentējošiem tiesību aktiem, minētajai telpai vai ēkai jābūt reģistrētam attiecīgajam telpu lietošanas veidam, kas nebūs dzīvojamā telpa. Attiecīgi atbalsts nedzīvojamās telpas vides pielāgošanai netiks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aģentūra pārliecinās par atbilstību izslēgšanas nosacījumiem un projekta atbilstību uzaicinājumā norādītajai informācijai (skat. MKN noteikto -  24.1. apakšpunktā minētajā uzaicinājumā iekļautajai informācijai un šo noteikumu nosacījumiem un izteikto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un tā anotācijā norādīto atskaites punkta Nr. 116 izpildi apliecina finansējuma saņēmēja vadības informācijas sistēmā iesniegta informācija par noslēgtajiem būvdarbu līgumiem mērķa grupas mājokļu vides pielāgošanai. Vienlaikus saskaņā ar noteikumu projekta 19.4. apakšpunktu projekta ietvaros ir atbalstāmas darbības arī vides pieejamības tehnoloģiju, iekārtu, aprīkojuma un cita materiāltehniskā nodrošinājuma iegādei, piegādei un montāžai. Tādējādi secināms, ka vides pieejamības nodrošināšana mājoklī var tikt īstenota arī, veicot tehnoloģiju un iekārtu iegādi, neslēdzot būvdarbu līgumu. Lūdzam papildināt noteikumu projekta anotāciju ar skaidrojumu par to, vai atskaites punkts būs uzskatāms par sasniegtu gadījumā, ja vides pieejamības nodrošināšanai kādā no mājokļiem netiks noslēgts būvdarbu līgums, bet tiks noslēgts pakalpojuma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noteikumu projekta 19.4. apakšpunktā paredzētās: “atbalstāmās darbības ietvaros attiecināmas tikai tādas izmaksas, kas radušās, veicot tādus mājokļa iekšējās un ārējās vides pieejamības nodrošināšanas būvdarbus vai atjaunošanas darbus un mājokļa ārējās vides labiekārtošanas darbus, kas tieši saistīti ar mērķa grupas personas mājokļa, tai skaitā koplietošanas telpu grupas, vides pieejamību.” Lūdzam papildināt noteikumu anotāciju ar skaidrojumu par to, vai gadījumā, ja ieguldījumus paredzēts veikt kopīpašumā, projekta iesniegumam būs nepieciešams pievienot dokumentāciju, kas apliecina kopīpašuma īpašnieku saskaņojumu šādu ieguldījumu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“Paredzēts, ka finansējuma saņēmējs būs mājokļa pielāgošanas darbu iniciators un organizētājs, tāpēc ir nepieciešams finansējuma saņēmējam paredzēt īpašas tiesības īstenot ar vides pielāgošanu saistītas darbības personas mājoklī (t.sk., nepieciešamās dokumentācijas sagatavošanu, darbu organizēšanu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lūdzam papildināt noteikumu anotāciju ar skaidrojumu, kāda formā tiks nostiprinātas tiesības finansējuma saņēmējam veikt ieguldījumus citas personas īpašumā, kā arī, kādus šīs tiesības apliecinošus dokumentus ir nepieciešams pievienot projekta iesniegumam. Noteikumu projekta pielikumā pievienotajā personas iesniegumā ir norādīta vieta, kur parakstīties īpašniekam, bet CFLA šis iesniegums, iespējams, nebūs pieejams, jo saturēs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investīcijas 3.1.2.1.i 2. kārtas projektus un nodrošinot vides pieejamību mērķa grupas personām, var tikt netieši sniegts atbalsts citiem saimnieciskās darbības veicējiem, kas veic saimniecisko darbību ēkā, kuras telpām tiek nodrošināta vides pieejamība. Lūdzam papildināt noteikumu anotāciju ar minētās situācijas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anotāciju, vai investīcijas ietvaros īstenojamie projekti būtu uzskatāmi par stratēģiski svarīgiem un par kuriem būtu veicami īpaši publicitātes pasākumi.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punkta “Risinājuma apraksts” 1.apakšpunktā “Projekta vadība” ietvertajā tabulā  “3.1.2.1.i investīcijas otrās kārtas pasākuma projektu vadības personāla izmaksu aprēķins*” norādīto mēnešalgu grupu un/vai amatu saimi grāmatvedim/finansistam, juriskonsultam/iepirkumu speciālistam un būvinženierim atbilstoši Ministru kabineta 2022.gada 26.aprīļa noteikumu Nr.262 1.pielikumam.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punkta “Risinājuma apraksts” 1.apakšpunktā “Projekta vadība” ietvertās tabulas “3.1.2.1.i investīcijas otrās kārtas pasākuma projektu vadības personāla izmaksu aprēķins*” ailē “Amata saime” norādīt mēnešalgu grupas līmeni projekta vadītājam.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2.punktu, norādot noteikumu projekta īstenošanai nepieciešamo kopējo finansējumu, attiecīgi precizējot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26.04.2023.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26.04.2023.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Atzinumi_22-TA-3709.docx</dc:title>
</cp:coreProperties>
</file>

<file path=docProps/custom.xml><?xml version="1.0" encoding="utf-8"?>
<Properties xmlns="http://schemas.openxmlformats.org/officeDocument/2006/custom-properties" xmlns:vt="http://schemas.openxmlformats.org/officeDocument/2006/docPropsVTypes"/>
</file>