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Finansējuma saņēmējs veic portatīvās datortehnikas sadali tiem šo noteikumu 7.1. apakšpunktā minētajiem sadarbības partneriem, kas ne vēlāk kā trīs mēnešus pēc finansējuma saņēmēja uzaicinājuma ir noslēguši sadarbības līgumu ar finansējuma saņēmēju. Sadali veic atbilstoši finansējuma saņēmēja apstiprinātai kvotai, balstoties uz datiem par personām vecumā no 6 līdz 23 gadiem no sociāli neaizsargātām grupām. Minētos datus iegūst no šādiem informāciju sistēmu un datu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Datu valsts inspekcijas 21.09.2022. iebildumu par šo normu. Neskatoties uz veiktajiem precizējumiem, no šīs normas joprojām nav viennozīmīgi saprotamas kādi izglītojamo personas dati tiks apstrādāti minētajam nolūkam. Ņemot vērā minēto, lūdzu noteikumu projekta 14. punkta ievaddaļā vai tā apakšpunktos noteikt vismaz apstrādājamo personas datu kategorijas, piemēram., personu identificējoši dati, dati par personu invaliditātes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Finansējuma saņēmējs nodrošinās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minēto personas datu aizsardzības obligāto tehnisko un organizatorisko prasību izpildi un drošības pasākumu ievērošanu saskaņā ar Eiropas Parlamenta un Padomes regulu Nr. 2016/679 par fizisku personu aizsardzību attiecībā uz personas datu apstrādi un šādu datu brīvu apriti un ar ko atceļ Direktīvu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Vispārīgās datu aizsardzības regulas prasības ir tieši piemērojamas, līdz ar to nav nepieciešams šo jautājumu regulēt noteikumu projektā. Papildus vēršam uzmanību, ka Vispārīgā datu aizsardzības regula konkrētas tehniskās un organizatoriskās prasības nenosaka. Ņemot vērā minēto, lūdzam svītrot noteikumu projekta 42.punktu.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22.11.2022.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