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paredzēto pasākumu īstenošanā ir iesaistītas valsts budžeta iestādes, nepieciešams papildināt anotācijas 3.sadaļas "Tiesību akta projekta ietekme uz valsts budžetu un pašvaldību budžetiem" punktu “Cita informācija”, norādot, ka noteikumu projektā paredzēto pasākumu īstenošanu iesaistītās valsts budžeta iestādes nodrošinās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anotācijas 3.sadaļas “Tiesību akta projekta ietekme uz valsts budžetu un pašvaldību budžetiem” 6.punktā norādītais, ka auditmonitoringu 2023.gadā būs iespējams veikt </w:t>
            </w:r>
            <w:r w:rsidR="00000000" w:rsidRPr="00000000" w:rsidDel="00000000">
              <w:rPr>
                <w:u w:val="single"/>
                <w:rtl w:val="0"/>
              </w:rPr>
              <w:t xml:space="preserve">tikai daļēji</w:t>
            </w:r>
            <w:r w:rsidR="00000000" w:rsidRPr="00000000" w:rsidDel="00000000">
              <w:rPr>
                <w:rtl w:val="0"/>
              </w:rPr>
              <w:t xml:space="preserve">, ņemot vērā, ka atbilstoši noteikumu  projekta 1.2.sadaļā “Mērķis” norādītajam noteikumu projekta mērķis ir </w:t>
            </w:r>
            <w:r w:rsidR="00000000" w:rsidRPr="00000000" w:rsidDel="00000000">
              <w:rPr>
                <w:u w:val="single"/>
                <w:rtl w:val="0"/>
              </w:rPr>
              <w:t xml:space="preserve">pārņemt </w:t>
            </w:r>
            <w:r w:rsidR="00000000" w:rsidRPr="00000000" w:rsidDel="00000000">
              <w:rPr>
                <w:rtl w:val="0"/>
              </w:rPr>
              <w:t xml:space="preserve">nacionālajos tiesību aktos </w:t>
            </w:r>
            <w:r w:rsidR="00000000" w:rsidRPr="00000000" w:rsidDel="00000000">
              <w:rPr>
                <w:u w:val="single"/>
                <w:rtl w:val="0"/>
              </w:rPr>
              <w:t xml:space="preserve">direktīvas 2020/2184</w:t>
            </w:r>
            <w:r w:rsidR="00000000" w:rsidRPr="00000000" w:rsidDel="00000000">
              <w:rPr>
                <w:rtl w:val="0"/>
              </w:rPr>
              <w:t xml:space="preserve"> par dzeramā ūdens kvalitāti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2023. gadam un budžeta ietvaru 2023., 2024. un 2025.gadam” 2023.gada 9.martā ir pieņemts Saeimā 2.lasījumā, nepieciešams anotācijas 3.sadaļas “Tiesību akta projekta ietekme uz valsts budžetu un pašvaldību budžetiem” 6.punktā svītrot visu norādīto informāciju par Veselības ministrijas Finanšu ministrijā iesniegto prioritārā pasākuma pieteikumu 2023.-2025.gadam “Veselīga un aktīva dzīvesveida īstenošana atbilstoši “Sabiedrības veselības pamatnostādņu 2021.-2027.gadam” 1.rīcības virzienā iekļautajiem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(turpmāk – 3.sadaļa) aili “2023, saskaņā ar valsts budžetu kārtējam gadam”, aili “2024, saskaņā ar vidēja termiņa budžeta ietvaru” un aili “2025, saskaņā ar vidēja termiņa budžeta ietvaru”, norādot tikai to finansējuma apmēru, kas plānots Veselības ministrijas budžetā </w:t>
            </w:r>
            <w:r w:rsidR="00000000" w:rsidRPr="00000000" w:rsidDel="00000000">
              <w:rPr>
                <w:u w:val="single"/>
                <w:rtl w:val="0"/>
              </w:rPr>
              <w:t xml:space="preserve">noteikumu projektā paredzēto pasākumu īstenošanai</w:t>
            </w:r>
            <w:r w:rsidR="00000000" w:rsidRPr="00000000" w:rsidDel="00000000">
              <w:rPr>
                <w:rtl w:val="0"/>
              </w:rPr>
              <w:t xml:space="preserve">. Attiecīgi nepieciešams precizēt informāciju anotācijas 3.sadaļas 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ir konstatēts, ka dzeramā ūdens neatbilstību ir izraisījis ēkas iekšējais ūdensvads vai tā ekspluatācija, par dzeramā ūdens atbilstību šo noteikumu prasībām ir atbildīgs ēkas iekšējā ūdensvada pārvaldnieks vai īpašnieks.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tekstā daudzviet minēs termins ēkas iekšējā ūdensvada pārvaldnieks vai īpašnieks. Tiesiskās skaidrības nolūkā, lūdzam skaidrot šī termina saturu līdzīgi kā Noteikumu projekta 3.2., 3.3.apakšpunktos.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14.03.2023.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14.03.2023.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