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precizētajā likumprojekta 7.pantā piedāvātājā 918.panta otrajā daļā kā izpildes iestāde regulas Nr. 2023/1543 3. panta 17. punkta izpratnē ir norādīta </w:t>
            </w:r>
            <w:r w:rsidR="00000000" w:rsidRPr="00000000" w:rsidDel="00000000">
              <w:rPr>
                <w:u w:val="single"/>
                <w:rtl w:val="0"/>
              </w:rPr>
              <w:t xml:space="preserve">Ģenerālprokuratūra</w:t>
            </w:r>
            <w:r w:rsidR="00000000" w:rsidRPr="00000000" w:rsidDel="00000000">
              <w:rPr>
                <w:rtl w:val="0"/>
              </w:rPr>
              <w:t xml:space="preserve">, savukārt anotācijas 1.3.sadaļā norādīts, ka "</w:t>
            </w:r>
            <w:r w:rsidR="00000000" w:rsidRPr="00000000" w:rsidDel="00000000">
              <w:rPr>
                <w:i w:val="1"/>
                <w:rtl w:val="0"/>
              </w:rPr>
              <w:t xml:space="preserve">KPL 918.panta otrajā daļā noteikts, ka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Valsts policija</w:t>
            </w:r>
            <w:r w:rsidR="00000000" w:rsidRPr="00000000" w:rsidDel="00000000">
              <w:rPr>
                <w:i w:val="1"/>
                <w:rtl w:val="0"/>
              </w:rPr>
              <w:t xml:space="preserve"> ir izpildiestāde e-pierādījumu regulas 3.panta 17.punkta izpratnē. Valsts policija kā izpildiestāde izraudzīta jo pierādījumu vākšana pati par sevi primāri ir izmeklēšanas iestādes funkcija, tādēļ arī Eiropas e-pierādījumu saglabāšanas rīkojuma un Eiropas e-pierādījumu sniegšanas rīkojuma izpilde ir izmeklēšanas iestādei deleģējama funkcija. Rīkojuma pārbaude no tiesu iestādes puses tiek veikta brīdī, kad šo rīkojumu izdod citā dalībvalstī." </w:t>
            </w:r>
            <w:r w:rsidR="00000000" w:rsidRPr="00000000" w:rsidDel="00000000">
              <w:rPr>
                <w:rtl w:val="0"/>
              </w:rPr>
              <w:t xml:space="preserve">Lūdzam salāgot norādīto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23.02.2026.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25-TA-2555</w:t>
    </w:r>
    <w:r>
      <w:br/>
    </w:r>
    <w:r w:rsidR="00000000" w:rsidRPr="00000000" w:rsidDel="00000000">
      <w:rPr>
        <w:rtl w:val="0"/>
      </w:rPr>
      <w:t xml:space="preserve">Izdrukāts 23.02.2026.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