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ir panākta vienošanās ar lēmuma adresātu par iestādes uzturēta mašīnlasāma saraksta izveidi, iestāde, kurai ir tiesības izdot lēmumu par piekļuves ierobežošanu tiešsaistes saskarnei elektronisko sakaru tīklā, par domēna vārda lietošanas tiesību ierobežošanu, par domēna vārda lietošanas tiesību atņemšanu vai par piekļuves ierobežošanu tiešsaistes saskarnei vai saturam informācijas sabiedrības pakalpojumā, pēc lēmuma paziņošanas ievieto lēmumā vai tā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norādīto informāciju iestādes uzturētā mašīnlasāmā sarakstā. Lēmuma adresātam ir tiesības izmantot kompetentās kiberincidentu novēršanas institūcijas uzturēto ierobežojamo interneta resursu sarakstu, kurā apkopoti iestāžu mašīnlasāmie saraksti, lai ierobežotu galalietotājiem piekļuvi sarakstā iekļautajiem interneta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(turpmāk – NEPLP) ir konstatējusi, ka noteikumu projekta 2.punkts ir papildināts ar piebildi par lēmuma adresātam jeb elektronisko pakalpojumu sniedzējam ir tiesības kompetentās kiberincidentu novēršanas institūcijas uzturēto ierobežojamo interneta resursu sarakstu kā vienīgo avotu, lai ierobežotu galalietotājiem piekļuvi sarakstā iekļautajiem interneta resursiem. Šādā veidā elektronisko sakaru pakalpojumu sniedzējam tiek dota iespēja sava tiesiskā pienākuma izpildei izmantot tikai kompetentās kiberincidentu novēršanas institūcijas (Cert.lv) izveidoto sarakstu. NEPLP vērš uzmanību, ka lēmuma adresātam pienākums īstenot piekļuves ierobežošanu izriet no iestādes izdotā lēmuma, un tas primāri īstenojams, pamatojoties uz iestādes uzturēto mašīnlasāmo sarakstu. Kompetentās kiberincidentu novēršanas institūcijas uzturētais ierobežojamo interneta resursu saraksts, kurā apkopoti dažādu iestāžu uzturētie mašīnlasāmie saraksti, var tikt izmantots kā tehnisks palīglīdzeklis iestādes lēmuma izpildes nodrošināšanai. Šāda saraksta izmantošana lēmuma adresātam neuzliek papildu tiesisko pienākumu un tam nav patstāvīgas tiesiskas nozīmes. Lēmuma izpilde ir nodrošināma, primāri balstoties uz iestādes uzturēto mašīnlasāmo sarakstu, kas ir saistošs lēmuma adresātam. NEPLP norāda, ka elektronisko sakaru komersantiem, nodrošinot interneta resursu ierobežošanu, kompetentās kiberincidentu novēršanas institūcijas uzturētais ierobežojamo resursu saraksts būtu izmantojams tikai kā papildu rīks.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lūdz noteikumu projekta 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“2. Ja ir panākta vienošanās ar lēmuma adresātu par iestādes uzturēta mašīnlasāma saraksta izveidi, iestāde, kurai ir tiesības izdot lēmumu par piekļuves ierobežošanu tiešsaistes saskarnei elektronisko sakaru tīklā, par domēna vārda lietošanas tiesību ierobežošanu, par domēna vārda lietošanas tiesību atņemšanu vai par piekļuves ierobežošanu tiešsaistes saskarnei vai saturam informācijas sabiedrības pakalpojumā, pēc lēmuma paziņošanas ievieto lēmumā vai tā pielikumā norādīto informāciju iestādes uzturētā mašīnlasāmā sarakstā. Lēmuma adresātam </w:t>
            </w:r>
            <w:r w:rsidR="00000000" w:rsidRPr="00000000" w:rsidDel="00000000">
              <w:rPr>
                <w:i w:val="1"/>
                <w:u w:val="single"/>
                <w:rtl w:val="0"/>
              </w:rPr>
              <w:t xml:space="preserve">papildus lēmuma izdevējiestādes uzturētajam mašīnlasāmajam sarakstam</w:t>
            </w:r>
            <w:r w:rsidR="00000000" w:rsidRPr="00000000" w:rsidDel="00000000">
              <w:rPr>
                <w:i w:val="1"/>
                <w:rtl w:val="0"/>
              </w:rPr>
              <w:t xml:space="preserve"> ir tiesības izmantot arī kompetentās kiberincidentu novēršanas institūcijas uzturēto ierobežojamo interneta resursu sarakstu, kurā apkopoti iestāžu mašīnlasāmie saraksti, lai ierobežotu galalietotājiem piekļuvi sarakstā iekļautajiem interneta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Liepiņa (NEPLP) (Dita Remberga (NEPLP)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21.03.2025.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21.03.2025.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