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norādīts, ka "6.1.1.1.pasākuma pirmajā kārtā netiek atbalstītas projekta iesniedzēja un sadarbības partneru aktivitātes, kurām atbalsts ir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skaidrojam, ka atbalsts tādu aktivitāšu veikšanai, kas saistītas ar saimnieciskās darbības veicēju saimniecisko darbību (šajā gadījumā kūdras ieguvi), turklāt tādu aktivitāšu veikšanai, kas zemes īpašniekam vai kūdras ieguvējam būtu jāveic jebkurā gadījumā atbilstoši normatīvajiem aktiem vai kas tiktu veiktas, sagatavojot projektu par atbalsta saņemšanu saimnieciskajai darbībai, ir kvalificējams kā komercdarbības atbalsts zemes īpašniekam vai kūdras ieguvējam. Tas pats attiecas uz siltumenerģijas ražošanas iekārtu nomaiņu, ja tās paredzētas saimnieciskās darbības veikšanai, t.sk.,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mērķa grupas, t.sk. vēsturisko kūdras ieguves vietu īpašniekus (pašvaldības, privātpersonas), kā arī plānotos pasākumus, t.sk. pašvaldību un privātpersonu īpašumā esošo vēsturisko kūdras ieguves vietu rekultivācijas stratēģiju izstrādi un piemērotāko metožu noteikšanu, nodrošinot ekspertīzi ar atbilstošu kompetenci un kvalitāti mērķa sasniegšanai, teritorijām, kurās tiks īstenoti rekultivācijas darbi 6.1.1.1. pasākuma nākamajās projektu iesniegumu atlases kārtās, vadlīniju un dokumentācijas sagatavošanu vēsturisko kūdras ieguves vietu rekultivācijas veicināšanai, kūdras siltumenerģijas ražošanas iekārtu nomaiņu un projektu pieteikumu dokumentācijas sagatavošanu, lūdzam iekļaut anotācijā detalizētu skaidrojumu, kādēļ tiek secināts, ka plānotais atbalsts konkrētām attiecināmajām izmaksām nav kvalificējams kā komercdarbības atbalsts, vai arī, ja tiek secināts, ka atbalsts konkrētām attiecināmajām izmaksām ir kvalificējams kā komercdarbības atbalsts, lūdzam noteikumu projektu papildināt ar atbilstošām komercdarbības atbalsta regulējuma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mērķteritorijas ir vēsturiskās kūdras ieguves vietas, kas atrodas Kurzemes, Latgales, Vidzemes un Zemgales statistiskajā reģionā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nosakot, ka minētās teritorijas ir arī projekta īstenošanas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pirmās kārtas īstenošanai plānotais un pieejamais kopējais attiecināmais finansējums ir vismaz 2 254 192 </w:t>
            </w:r>
            <w:r w:rsidR="00000000" w:rsidRPr="00000000" w:rsidDel="00000000">
              <w:rPr>
                <w:i w:val="1"/>
                <w:rtl w:val="0"/>
              </w:rPr>
              <w:t xml:space="preserve">euro,</w:t>
            </w:r>
            <w:r w:rsidR="00000000" w:rsidRPr="00000000" w:rsidDel="00000000">
              <w:rPr>
                <w:rtl w:val="0"/>
              </w:rPr>
              <w:t xml:space="preserve"> tai skaitā Taisnīgas pārkārtošanās fonda finansējums – 1 916 063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vismaz 338 129 </w:t>
            </w:r>
            <w:r w:rsidR="00000000" w:rsidRPr="00000000" w:rsidDel="00000000">
              <w:rPr>
                <w:i w:val="1"/>
                <w:rtl w:val="0"/>
              </w:rPr>
              <w:t xml:space="preserve">euro</w:t>
            </w:r>
            <w:r w:rsidR="00000000" w:rsidRPr="00000000" w:rsidDel="00000000">
              <w:rPr>
                <w:rtl w:val="0"/>
              </w:rPr>
              <w:t xml:space="preserve"> un privātais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svītrojot vārdu “vismaz” attiecībā uz valsts budžeta līdzfinansējumu, ņemot vērā, ka valsts budžeta līdzfinansējumam ir jānosaka konkrēts apmērs, kas attiecīgā pasākuma īstenošanai tiek apstiprināts. Ņemot vērā minēto, lūdzam arī precizēt noteikumu projekta 9.punktu un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noteikumu projekta 8.punktā norādīto privāto līdzfinansējumu anotācijā nav sniegts skaidrojums, kad, kas un kādos apstākļos šādu finansējumu plāno nodrošināt,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atlīdzības izmaksas (izņemot projekta iesnieguma veidlapas aizpildīšanas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w:t>
            </w:r>
            <w:r w:rsidR="00000000" w:rsidRPr="00000000" w:rsidDel="00000000">
              <w:rPr>
                <w:rtl w:val="0"/>
              </w:rPr>
              <w:t xml:space="preserve">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un īstenošanas personāla izmaksu likmes apmērs ir jāsaskaņo ar vadošo iestādi (t.sk. iesniedzot aprēķinus). Vienlaikus informējam, ka anotācijā sniegtā informācija tiks pārskatīta pēc papildinošās informācijas iesniegšanas vadošajā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23.4.5. izdales materiālu nodrošinājuma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izmaksu pozīciju vai skaidrot/ precizēt, norādot, kas ir izdales materiālu </w:t>
            </w:r>
            <w:r w:rsidR="00000000" w:rsidRPr="00000000" w:rsidDel="00000000">
              <w:rPr>
                <w:u w:val="single"/>
                <w:rtl w:val="0"/>
              </w:rPr>
              <w:t xml:space="preserve">nodrošinājuma</w:t>
            </w:r>
            <w:r w:rsidR="00000000" w:rsidRPr="00000000" w:rsidDel="00000000">
              <w:rPr>
                <w:rtl w:val="0"/>
              </w:rPr>
              <w:t xml:space="preserve"> izmaksas un kā tās atšķiras no 23.5. apakšpunktā ietvertajām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vairākkārt uzsvērta pieejamās informācijas sadrumstalotība un nepietiekamība, taču arī pasākuma pirmās kārtas, kā šīs problēmas risinājuma, ietvaros plānots veikt vēsturisko kūdras ieguves vietu izpēti un inventarizāciju 9 000 ha platībā (no aptuveni 20 000 ha TPF atbalstāmajos reģionos), turklāt ar pasākuma nākamajām atlases kārtām plānots sasniegt rādītāju - sanētās teritorijas vismaz 13 600 ha platībā. Lūdzam precizēt vai skaidrot, kā 9 000 ha teritorijas izpēte un inventarizācija risinās informācijas nepietiekamības un sadrumstalotības problēmu, kā arī pēc kādiem principiem tiks izvēlētas konkrētās teritorijas, ņemot vērā, ka, pretendējot uz atbalstu nākamajās atlases kārtās, daļai pretendentu būs pieejama projekta ietvaros veiktā inventarizācija, tai skaitā definētas piemērotākās rekultivācijas stratēģijas, bet daļai - nebūs, tādējādi nostādot tos nelabvēlīgākā situācijā pret citiem atbalsta pretendentiem.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projekta iesniedzējs ir Vidzemes plānošanas reģions, kas ir atvasināta publiska persona nevis valsts budžeta iestāde, lūdzam anotācijas 1.3.sadaļā pamatot, kāpēc līdzfinansējums jānodrošina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pirmo kārtu īsteno līdz 2026. gada 31. decembrim sasniedzot  nacionālo rādītāju - vēsturisko kūdras ieguves vietu, kas ir pašvaldību un privātpersonu īpašumā, izpēte un inventarizācija veikta teritorijās, kuru kopējā platība  sasniedz vismaz 9000 ha. Ar privātpersonu šo noteikumu izpratnē saprot fizisko/juridisko personu atbilstoši Kūdras ilgtspējīgas izmantošanas pamatnostādņu 2020.-2030. gadam 3.pielikumā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īsāku pirmās kārtas īstenošanas termiņu. 31.12.2026. varētu būt pārāk ilgs laiks,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paredzēta ierobežota projektu iesniegumu atlase ar vienu finansējuma saņēmēju, kurš jau no 01.01.2024. var sākt veikt dažādus sagatavošanās darbus projekta īstenošanai, noslēgt iepirkuma līgumus un veikt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nodevumi Atbildīgajai iestādei jānodod līdz 01.12.2024., 31.12.2024. un 15.06.2025., līdz ar to, iespējams, gala versijas šiem nodevumiem varētu būt sasniegtas ātrāk, nekā 31.12.2026., jo projektā nav būvniecības, attiecīgi projekta rādītāju sasniegšanu neietekmē būvniecības sezona;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1.kārtas rezultāti tiks izmantoti nākamajās SAM kārtās, kur paredzēti darbi (platību rekultivācija, katlu nomaiņa u.c.), kuru veikšanu ietekmēs laikapstākļi.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kopā ar sadarbības partneriem plāno projektā sasniedzamos uzraudzības rādītājus un Taisnīgas pārkārtošanās fonda finansējumu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noteiktajam rādītājam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pieejamajam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6.punktā ir paredzēts tikai nacionālais rādītājs, lūdzam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kopā ar sadarbības partneriem plāno projektā sasniedzamo nacionālo rādītāju un Taisnīgas pārkārtošanās fonda finansējumu atbilstoši šo noteikumu 6. punktā noteiktajam rādītājam un šo noteikumu 8. punktā pieejamajam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projekta īstenošanas personāla sadarbības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domāti personāla sadarbības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20.3.6. pašvaldību un siltumapgādes sabiedrisko pakalpojumu sniedzēju konsultēšana un tehniskais atbalsts par pasākuma otrās un trešās projekta iesniegumu atlases kārtas projektu dokumentācijas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ar anotācijā noteikto, kā atbalstāmo darbību paredzot arī ceturtās projekta iesniegumu atlases kārtas projektu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precizēt, kāda veida tehniskais atbalsts noteikumu projekta 20.3.6.apakšpunktā minētās dokumentācijas izstrādei ir plānots, lai nedublētos funkcijas, ņemot vērā, ka parasti pirms atlases izsludināšanas projekta iesniegumu sagatavošanas konsultēšanu nodrošina sadarbības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vadlīniju un dokumentācijas sagatavošana vēsturisko kūdras ieguves vietu rekultivācijas veicināšanai, kūdras siltumenerģijas ražošanas iekārtu nomaiņai un projektu pieteikumu dokumentācijas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domāts ar projekta pieteikumu un kāda veida dokumentācijai. Ja ir domāts projekta iesniegums, kas tiks iesniegts sadarbības iestādē un projekta iesniegumu pamatojošā dokumentācija - lūdzam atbilstoši precizēt MK noteikumos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un īstenošanas personāla atlīdzības izmaksas (izņemot projekta iesnieguma veidlapas aizpildīšanas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 </w:t>
            </w:r>
            <w:r w:rsidR="00000000" w:rsidRPr="00000000" w:rsidDel="00000000">
              <w:rPr>
                <w:rtl w:val="0"/>
              </w:rPr>
              <w:t xml:space="preserve">punkt</w:t>
            </w:r>
            <w:r w:rsidR="00000000" w:rsidRPr="00000000" w:rsidDel="00000000">
              <w:rPr>
                <w:rtl w:val="0"/>
              </w:rPr>
              <w:t xml:space="preserve">ā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23.1.apakšpunktā ietverto piebildi "tai skaitā valsts sociālās apdrošināšanas obligātās iemaksas”, ņemot vērā, ka minētais nosacījums jau ietilpst personāla izmaksās un uzskaitīt atkārtoti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komunikācijas un vizuālās identitātes prasību nodrošināšanas pasākumi, kas veiktas saskaņā ar normatīvajiem aktiem par kārtību, kādā 2021.–2027. gada plānošanas periodā publisko informāciju par projektiem,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31.1.apakšpunkts paredz, ka finansējuma saņēmējs un sadarbības partneris nodrošina komunikācijas un vizuālās identitātes prasību nodrošināšanas pasākumus, kas noteikti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2021/1060),47. un 50. pantā, kā arī normatīvajos aktos,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normās noteikto, lūdzam svītrot noteikumu projekta 23.9. apakšpunktā vārdus un skaitļus "kas veiktas saskaņā ar normatīvajiem aktiem par kārtību, kādā 2021.–2027. gada plānošanas periodā publisko informāciju par projektiem, bet", turklāt vēršam uzmanību, ka ietvertā atsauce un normatīvo aktu konkrētajā jomā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 punktā vārdus "ja vien tie nav atgūstami saskaņā ar nacionālajiem tiesību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2021/1060 64. panta 1. punkta "c" apakšpunkta "i" punktu darbībām,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 pievienotās vērtības nodokļa izmaksas </w:t>
            </w:r>
            <w:r w:rsidR="00000000" w:rsidRPr="00000000" w:rsidDel="00000000">
              <w:rPr>
                <w:u w:val="single"/>
                <w:rtl w:val="0"/>
              </w:rPr>
              <w:t xml:space="preserve">ir attiecināmas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attiecināms, projekta ietvaros, veicot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būvdarbi šajā kārtā nav paredzēti, lūdzam precizēt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dubultā finansējuma neiestāšanos,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31.3. apakšpunktu aiz vārda "neiestāšanos" ar vārdu "tostarp". Vēršam uzmanību, ka dubultā finansējuma neiestāšanās nodrošināma ne tikai kontekstā ar darbību finansēšanu no citiem finanšu atbalsta instrumentiem, bet arī konkrētajam projektam piešķirtā finansējuma ietvaros darbības nedrīkst tikt finansētas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nodrošina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rādītāja uzskaiti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nepieciešama arī informācijas sniegšana sadarbības iestādei par sasniegto rādītāja vērtību, ņemot vērā, ka atlases kārtā paredzēts tikai nacionālais rādītājs, kura uzraudzībai nav noteikts vispārīgs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līdz 2025. gada 15. jūnijam izstrādā un atbildīgajai iestādei iesniedz  šādus metodiskos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MKN noteikti konkrēti nodevumi Atbildīgajai iestādei, bet ne SAM MKN, ne anotācijā nav minēts, cik ilgā laikā Atbildīgā iestāde izskata šos dokumentus un kādi dokumenti (piemēram, Atbildīgās iestādes apstiprinājuma vēstule par nodevumu akceptu) nepieciešami CFLA, lai veiktu gala maksājumu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rindkopu, ka sākas ar vārdiem "6.1.1.1.pasākuma pirmajā kārtā finansējuma saņēmējs veic sociālekonomisko novērtējumu..." ar informāciju, ka 6.1.1.1. pasākuma “Atteikšanās no kūdras izmantošanas enerģētikā” pirmās atlases kārtas ietvaros tiks veikti izpētes un inventarizācijas darbi, lai pārliecinātos, kur visvairāk nepieciešami turpmākie ieguldījumi 6.1.1. specifiskā atbalsta mērķa “Pārejas uz klimatneitralitāti radīto ekonomisko, sociālo un vides seku mazināšana visvairāk skartajos reģionos” pasākumos un atlases kārtās, un iegūtie dati būs izmantojami, lai nepieciešamības gadījumā veiktu izmaksu un ieguvumu analīzi citos specifiskā atbalsta mērķa pasākumos un atlases kārtās, līdz ar to 6.1.1.1.pasākuma pirmajā projektu iesniegumu atlases kārtā izmaksu un ieguvumu analīzi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anotācijā minētajam "sociālekonomiskajam novērtējumam" aprakstīt konkrētus rezultātus, kas jāsasniedz, proti, ka jāaprēķina potenciālie sociālekonomiskie ieguvumi, pierādot, ka nākamajās atlases kārtās sociālekonomiskie ieguvumi ir lielāki par atlases kārtu investīcijām un uzturēšanas izmaksām projektu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samazinās administratīvo slogu - atlases kārtās, kur paredzēts viens projekts, informāciju par veikto izmaksu un ieguvumu analīzi varēs iekļaut attiecīgo MK noteikumu anotācijā (ja atlases kārta atbildīs nosacījumiem par nepieciešamību veikt izmaksu un ieguvumu analīzi) neveicot izmaksu un ieguvumu analīzi projekta līmenī. Savukārt atlases kārtās, kur būs plānoti vairāki projekti, balstoties uz iepriekš veikto analīzi, individuālā projekta izmaksu un ieguvumu analīze būs paveicama daudz vienkāršāk.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apakšsadaļas "Juridiskās personas" atbilstošo apakšsadaļu "Ietekmes apraksts" ar informāciju, ka Vidzemes plānošanas reģions pildīs finansējuma saņēmēja funkcijas, Vides aizsardzības un reģionālās attīstības ministrija pildīs atbildīgās iestādes funkcijas, savukārt Latgales plānošanas reģions, Kurzemes plānošanas reģions un Zemgales plānošanas reģions pildīs sadarbības partneru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Taisnīgas pārkārtošanās fonda līdzfinansētā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kārtas projekta iesnieguma apstiprināšanai sadarbības iestādē ar projekta īstenošanu saistītās finansējuma saņēmēja un sadarbības partneru izmaksas tiks segtas no plānošanas reģionu kārtējā gada sākumā apstiprinātā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3.punktu, norādot par tā izpildi atbildīgo iestādi, bet MK noteikumu anotācijas 3.sadaļā pamatot šāda punkta iekļaušanu, norādīt tā ietekmi uz budžetu un precizēt, ka pēc vienošanās noslēgšanas par projekta īstenošanu, izmaksas tiks pārgrāmatotas uz projekta kontu.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10.05.2024.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10.05.2024.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