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Likumprojektā paredzētais regulējums saskaņots ar starptautisko un nacionālo tiesisko regulējumu kultūras mantojuma aizsardzībai un ar to saistīto zinātnisko pētījumu veikšanai (tajā skaitā ar Eiropas konvenciju arheoloģiskā mantojuma aizsardzībai un Konvenciju par pasaules kultūras un dabas mantojuma aizsardzību)." Saistībā ar minēto aicinām attiecīgi papildināt anotācijas 5. sadaļu ar detalizētāku skaidrojumu par likumprojekta atbilstību Latvijas uzņemtajām starptautiskajām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 (Ilze Brazauska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29.07.2025.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29.07.2025.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