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26-TA-966: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Stratēģiskas nozīmes preču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"5) nav administratīvi sodīti par alkohola, narkotisko, psihotropo, toksisko vai citu apreibinošo vielu ietekmē izdarītiem pārkāpumiem, par atteikšanos no medicīniskās pārbaudes alkohola koncentrācijas noteikšanai, no narkotisko vai citu apreibinošo vielu ietekmes pārbaudes, kamēr nav pagājis gads pēc administratīvā soda izpildes vai, ja sods nav izpildīts, kamēr nav pagājis gads pēc soda izpildes noilguma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Lai gan likumdevējs var paredzēt ar sodāmību saistītus ierobežojumus, tipiski tiem būtu jābūt saistītiem ar sodāmības laiku un tās radītajām tiesiskajām sekām.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administratīvās atbildības skatpunkta ir pieļaujami ierobežojumi, kādi ir paredzēti likumprojektā "Grozījumi Stratēģiskas nozīmes preču aprites likumā" (turpmāk - projekts) saistībā ar administratīvo atbildību un sodāmību, tomēr nebūtu nosakāmi termiņi. Administratīvās sodāmības ilgumu noteic Administratīvās atbildības likums.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ierobežojums būtu izsakāms šādā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administratīvi sodīti par alkohola, narkotisko, psihotropo, toksisko vai citu apreibinošo vielu ietekmē izdarītiem pārkāpumiem, par atteikšanos no medicīniskās pārbaudes alkohola koncentrācijas noteikšanai, no narkotisko vai citu apreibinošo vielu ietekmes pārbaudes.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Linde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"6) valsts drošības iestāžu rīcībā nav ziņu, ka persona neatbilst nacionālās drošības interesēm, var radīt draudus valsts drošībai, saistīta ar organizēto noziedzību vai kriminālsodāmām darbībām, vai nav ziņu, kas apliecinātu piederību pie aizliegtiem militarizētiem vai bruņotiem grupējumiem, sabiedriskām organizācijām (partijām) vai to apvienībām vai reliģiskām organizācijām, kuru darbība apdraud nacionālās drošības intereses;"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Stratēģiskas nozīmes preču likuma (turpmāk - Likums) 5. panta ceturtās daļas 7. punkts paredz ierobežojumus par konkrētiem noziedzīgiem nodarījumiem. Toties projekta 2. panta ceturtajā daļā ietvertais Likuma 5. panta ceturtās daļas 6. punkta formulējums "kriminālsodāmas darbības" aptver visā Krimināllikumā minētos noziedzīgos nodarījumus. Tādējādi projekta 2. panta ceturtajā daļā ietvertais Likuma 5. panta ceturtās daļas 6. punkts ir pretrunā ar Likuma 5. panta ceturtās daļas 7. punktā izceltajiem noziedzīgajiem nodarījumiem. Tādējādi norādām, ka nepieciešams atteikties no vārdiem "kriminālsodāmām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formulējums "persona saistīta ar organizēto noziedzību" neatbilst krimināltiesiskajam regulējumam. Ja projekta 2. panta ceturtajā daļā ietvertā Likuma 5. panta ceturtās daļas 6. punkta mērķis ir noteikt ierobežojumu personām, kas izdarījušas noziedzīgu nodarījumu būdamas organizētā grupā, projekta 2. panta ceturtajā daļā ietvertais Likuma 5. panta ceturtās daļas 6. punkts papildināms ar vārdiem "persona, kura ir organizētās grupas dalībnieks". Tādējādi norādām, ka nepieciešams formulējumu "persona ir saistīta ar organizētā noziedzība" aizstāt ar vārdiem "persona ir organizētas grupas dalībnieks".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"7) nav sodīti, pat ja sodāmība dzēsta vai noņemta, par Krimināllikuma  116., 117., 118. pantā, 175. panta ceturtajā daļā (stipri iedarbīgo, indīgo vai radioaktīvo vielu, sprāgstvielu, šaujamieroču vai munīcijas zādzība), 176. panta trešajā daļā (stipri iedarbīgo, indīgo vai radioaktīvo vielu, sprāgstvielu, šaujamieroču vai munīcijas laupīšana), 176. panta ceturtajā daļā (laupīšana, ja tā izdarīta, lietojot šaujamieročus vai sprāgstošas vielas), 177. panta trešajā daļā (krāpšana, ja tā izdarīta, iegūstot stipri iedarbīgās, indīgās vai radioaktīvās vielas, sprāgstvielas, šaujamieročus vai munīciju), 179. panta trešajā daļā (stipri iedarbīgo, indīgo vai radioaktīvo vielu, sprāgstvielu, šaujamieroču vai munīcijas piesavināšanās), 233. panta trešajā daļā, 234. panta trešajā daļā, 236. panta otrajā daļā un 237. panta otrajā daļā minētajiem noziedzīgajiem nodarījumiem;"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norādīt, ka projekta sākotnējās ietekmes novērtējuma ziņojums (turpmāk - anotācija) nesniedz skaidrojumu, kādēļ tieši par projekta 2. panta piektajā un sestajā daļā ietvertajā Likuma 5. panta ceturtās daļas 7. un 7.</w:t>
            </w:r>
            <w:r w:rsidR="00000000" w:rsidRPr="00000000" w:rsidDel="00000000">
              <w:rPr>
                <w:vertAlign w:val="superscript"/>
                <w:rtl w:val="0"/>
              </w:rPr>
              <w:t xml:space="preserve">1</w:t>
            </w:r>
            <w:r w:rsidR="00000000" w:rsidRPr="00000000" w:rsidDel="00000000">
              <w:rPr>
                <w:rtl w:val="0"/>
              </w:rPr>
              <w:t xml:space="preserve"> punktā uzskaitītajiem noziedzīgajiem nodarījumiem komersants nevar pretendēt uz speciālās atļaujas saņemšanu. Šajā sakarā vēlamies vērst uzmanību, ka nepieciešams anotācijā ietvert skaidrojumu, kādēļ tieši par attiecīgajiem noziedzīgajiem nodarījumiem būtu jānoteic ierobežojums speciālās atļaujas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projekta 2. panta piektajā un sestajā daļā ietvertais Likuma 5. panta ceturtās daļas 7. un 7.</w:t>
            </w:r>
            <w:r w:rsidR="00000000" w:rsidRPr="00000000" w:rsidDel="00000000">
              <w:rPr>
                <w:vertAlign w:val="superscript"/>
                <w:rtl w:val="0"/>
              </w:rPr>
              <w:t xml:space="preserve">1</w:t>
            </w:r>
            <w:r w:rsidR="00000000" w:rsidRPr="00000000" w:rsidDel="00000000">
              <w:rPr>
                <w:rtl w:val="0"/>
              </w:rPr>
              <w:t xml:space="preserve"> punkts paredz absolūtu ierobežojumu personai (neatkarīgi no personas sodāmības dzēšanas vai noņemšanas). Šajā sakarā norādām, ka anotācija nesniedz pamatotu argumentāciju, kādēļ komersantam jānoteic absolūts ierobežojums atļaujas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pēdējo piecu gadu laikā Satversmes tiesa arvien vairāk ierosina lietas par normatīvajos aktos noteiktajiem ierobežojumiem un lielākoties noteiktos ierobežojumus arī atzīst kā nesamērīgus un tādējādi Satversmei neatbilstošus. Tādējādi Tieslietu ministrija norāda, ka būtu svarīgi atteikties no absolūtiem tiesību ierobežojumiem tiesību normās, kā arī sašaurināt noziedzīgo nodarījumu loku, uz kuriem tiesību ierobežojumi ir attiecināmi, attiecinot ierobežojumu uz īpaši bīstamiem noziedzīgiem nodarījumiem un tādiem noziedzīgiem nodarījumiem, kas saistīti tieši ar konkrēto nozari.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norādām, ka anotācijā nepieciešams ietvert izvērtējumu atbilstoši zemāk minētajiem kritērijiem, kas pamatotu, kādēļ šādas atļaujas saņemšanai komersants var tikt pakļauts absolūtam tiesību ierobežojumam.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panta piektajā un sestajā daļā ietvertais Likuma 5. panta ceturtās daļas 7. un 7.</w:t>
            </w:r>
            <w:r w:rsidR="00000000" w:rsidRPr="00000000" w:rsidDel="00000000">
              <w:rPr>
                <w:vertAlign w:val="superscript"/>
                <w:rtl w:val="0"/>
              </w:rPr>
              <w:t xml:space="preserve">1</w:t>
            </w:r>
            <w:r w:rsidR="00000000" w:rsidRPr="00000000" w:rsidDel="00000000">
              <w:rPr>
                <w:rtl w:val="0"/>
              </w:rPr>
              <w:t xml:space="preserve"> punkts tieši neparedz personas nodarbošanās ierobežojumus, tomēr tas paredz ierobežojumu, kas liedz komersantam saņemt speciālo atļauju komercdarbībai ar Eiropas Savienības Kopējā militāro preču sarakstā minētajām precēm. Norādām, ka arī šāda ierobežojuma noteikšanai analogi nodarbinātības ierobežojumiem, jāveic ierobežojuma samērīguma izvērtējums pēc turpmāk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Saeimas Aizsardzības, iekšlietu un korupcijas novēršanas komisija ir aicinājusi Ministru kabinetu aktualizēt Ministru kabineta 2020. gada 3. marta sēdes protokollēmuma (prot. Nr. 9 40. §) 3. punktā noteikto uzdevumu un jaunās judikatūras kontekstā pārvērtēt normatīvajos aktos noteiktos aizliegumus personai izvēlēties nodarbošanos saistībā ar iepriekš izdarītu noziedzīgu nodarījumu un pārvērtēt esošo ierobežojumu nepieciešamību un samērīgumu. 2020. gada 3. marta Ministru kabineta sēdes protokollēmuma (prot. Nr. 9 40. §) 3. punkts ietver šādus kritērijus, pēc kuriem vērtēt ierobežojuma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3.1. vai aizliegums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 vai aizliegumu ir iespējams attiecināt tikai uz tīšiem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3.3. vai aizliegumu ir iespējams attiecināt tikai uz atsevišķiem noziedzīgiem nodarījumiem (piemēram, autortiesību un blakustiesību pārkāpšana saskaņā ar Krimināllikuma 148.pantu, izvairīšanās no nodokļu un tiem pielīdzināto maksājumu nomaksas saskaņā ar Krimināllikuma 218.pantu un būvniecības noteikumu pārkāpšana saskaņā ar Krimināllikuma 239.pantu);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3.4. vai aizliegumu ir iespējams attiecināt tikai uz atsevišķu noziedzīgu nodarījumu grupām (piemēram, noziedzīgi nodarījumi pret personas dzīvību un veselību; noziedzīgi nodarījumi pret tikumību un dzimumneaizskaramību; noziedzīgi nodarījumi tautsaimniecībā; noziedzīgi nodarījumi valsts institūciju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 vai atbilstoši, proti, no kaitīgākā uz mazāk kaitīgu, aizliegumu ir iespējams attiecināt tikai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3.5.1.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3.5.2. smagiem un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3.5.3. noziegumiem (mazāk smagiem, smagiem un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3.5.4. noziedzīgiem nodarījumiem (kriminālpārkāpumiem un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3.6. vai aizliegumu ir iespējams neattiecināt uz personām, kuras noziedzīgu nodarījumu izdarījušas būdamas nepilngadīgas;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3.7. vai absolūtu aizliegumu ir iespējams aizstāt ar terminētu aizliegumu, proti, tādu, kas beidzas līdz ar sodāmības dzēšanu vai noņemšanu;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3.8. vai absolūtu aizliegumu ir iespējams atcelt, veicot individuālu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"7)</w:t>
            </w:r>
            <w:r w:rsidR="00000000" w:rsidRPr="00000000" w:rsidDel="00000000">
              <w:rPr>
                <w:vertAlign w:val="superscript"/>
                <w:rtl w:val="0"/>
              </w:rPr>
              <w:t xml:space="preserve">1</w:t>
            </w:r>
            <w:r w:rsidR="00000000" w:rsidRPr="00000000" w:rsidDel="00000000">
              <w:rPr>
                <w:rtl w:val="0"/>
              </w:rPr>
              <w:t xml:space="preserve"> nav sodīti, pat ja sodāmība dzēsta vai noņemta, par Krimināllikuma IX, IX1, X nodaļā minētajiem pantiem;"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nepieciešams veikt labojumus projekta 2. panta sestajā daļā ietvertajā Likuma 5. panta ceturtās daļas 7.</w:t>
            </w:r>
            <w:r w:rsidR="00000000" w:rsidRPr="00000000" w:rsidDel="00000000">
              <w:rPr>
                <w:vertAlign w:val="superscript"/>
                <w:rtl w:val="0"/>
              </w:rPr>
              <w:t xml:space="preserve">1</w:t>
            </w:r>
            <w:r w:rsidR="00000000" w:rsidRPr="00000000" w:rsidDel="00000000">
              <w:rPr>
                <w:rtl w:val="0"/>
              </w:rPr>
              <w:t xml:space="preserve"> punkta formulējumā. Persona nevar tikt sodīta par Krimināllikuma nodaļā esošajiem "pantiem". Tādējādi nepieciešams norādīt, ka persona nav sodīta par Krimināllikuma IX, IX</w:t>
            </w:r>
            <w:r w:rsidR="00000000" w:rsidRPr="00000000" w:rsidDel="00000000">
              <w:rPr>
                <w:vertAlign w:val="superscript"/>
                <w:rtl w:val="0"/>
              </w:rPr>
              <w:t xml:space="preserve">1</w:t>
            </w:r>
            <w:r w:rsidR="00000000" w:rsidRPr="00000000" w:rsidDel="00000000">
              <w:rPr>
                <w:rtl w:val="0"/>
              </w:rPr>
              <w:t xml:space="preserve">, X nodaļā minētajiem noziedzīgajiem nodarījumiem.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izteikt sestās daļas 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izvērtēt un argumentēti pamatot projekta 2.</w:t>
            </w:r>
            <w:r w:rsidR="00000000" w:rsidRPr="00000000" w:rsidDel="00000000">
              <w:rPr>
                <w:b w:val="1"/>
                <w:rtl w:val="0"/>
              </w:rPr>
              <w:t xml:space="preserve"> pantā paredzētā</w:t>
            </w:r>
            <w:r w:rsidR="00000000" w:rsidRPr="00000000" w:rsidDel="00000000">
              <w:rPr>
                <w:b w:val="1"/>
                <w:rtl w:val="0"/>
              </w:rPr>
              <w:t xml:space="preserve"> likuma</w:t>
            </w:r>
            <w:r w:rsidR="00000000" w:rsidRPr="00000000" w:rsidDel="00000000">
              <w:rPr>
                <w:b w:val="1"/>
                <w:rtl w:val="0"/>
              </w:rPr>
              <w:t xml:space="preserve"> 5. panta sestās daļas 3. punktā paredzēto ierobežojumu nepieciešamību, pieļaujamību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anotācijā nav ietverts argumentēts pamatojums projekta 2. panta 11. daļā ietvertajā likuma 5. panta sestās daļas 3. punkta grozījumu nepieciešamībai, kā arī minētajā punktā noteiktajiem ierobežojumiem attiecībā uz Aizsardzības ministrijas izsniegto speciālo atļauju (licenci) komercdarbībai.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papildināt anotāciju ar ierobežojuma attaisnojamības izvērtējumu kopsakarā ar katru pārkāpumu.  Turklāt jābūt argumentēti pamatotam, kāpēc ir izraudzīti tieši tādi pārkāpumi.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Celma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"3) komersants pēdējo trīs gadu laikā ar kompetentas institūcijas lēmumu, tiesas spriedumu vai prokurora priekšrakstu par sodu, kas stājies spēkā un kļuvis neapstrīdams un nepārsūdzams, ir atzīts par vainīgu un sodīts par pārkāpumu, kurš izpaužas 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vienas vai vairāku personu nodarbināšana, ja tām nav nepieciešamās darba atļaujas vai ja tās nav tiesīgas uzturēties Eiropas Savienības dalībvalstīs;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personas nodarbināšana bez rakstveidā noslēgta darba līguma, normatīvajos aktos par nodokļiem noteiktajā termiņā neiesniedzot par šo personu informatīvo deklarāciju, kas iesniedzama par personām, kuras uzsāk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Krimināllikuma 70.</w:t>
            </w:r>
            <w:r w:rsidR="00000000" w:rsidRPr="00000000" w:rsidDel="00000000">
              <w:rPr>
                <w:vertAlign w:val="superscript"/>
                <w:rtl w:val="0"/>
              </w:rPr>
              <w:t xml:space="preserve">1</w:t>
            </w:r>
            <w:r w:rsidR="00000000" w:rsidRPr="00000000" w:rsidDel="00000000">
              <w:rPr>
                <w:rtl w:val="0"/>
              </w:rPr>
              <w:t xml:space="preserve"> pantu, juridiskai personai par noziedzīgu nodarījumu piemēro piespiedu ietekmēšanas līdzekli, tādējādi tā nevar tikt atzīta par vainīgu vai sodīta.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norādām, ka projekta 2. panta 11. daļā ietvertajā 5. panta sestās daļas 3. punktā saskatāmi gan kriminālatbildības, gan administratīvās atbildības jautājumi, tādējādi tiek piedāvāts nodalīt kriminālatbildības jautājumus (a) apakšpunktu), pievienojot to 7. punkta uzskaitījumam. Minētās darbības ir sodāmas saskaņā ar Krimināllikuma 280.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projekta 2. panta 11. daļā ietvertajā 5. panta sestās daļas 3. punktā nepieciešams izslēgt vārdus "prokurora priekšraksts par sodu".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"(6</w:t>
            </w:r>
            <w:r w:rsidR="00000000" w:rsidRPr="00000000" w:rsidDel="00000000">
              <w:rPr>
                <w:vertAlign w:val="superscript"/>
                <w:rtl w:val="0"/>
              </w:rPr>
              <w:t xml:space="preserve">1</w:t>
            </w:r>
            <w:r w:rsidR="00000000" w:rsidRPr="00000000" w:rsidDel="00000000">
              <w:rPr>
                <w:rtl w:val="0"/>
              </w:rPr>
              <w:t xml:space="preserve">) Aizsardzības ministrija speciālo atļauju (licenci) izsniedz 8 mēnešu laikā no iesnieguma saņemšanas dienas. Ja objektīvu iemeslu dēļ minēto termiņu nav iespējams ievērot, Aizsardzības ministrija pārbaudes termiņu var pagarināt."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projekta 2. panta 17. daļā ietvertajā Likuma 5. panta 6.</w:t>
            </w:r>
            <w:r w:rsidR="00000000" w:rsidRPr="00000000" w:rsidDel="00000000">
              <w:rPr>
                <w:vertAlign w:val="superscript"/>
                <w:rtl w:val="0"/>
              </w:rPr>
              <w:t xml:space="preserve">1</w:t>
            </w:r>
            <w:r w:rsidR="00000000" w:rsidRPr="00000000" w:rsidDel="00000000">
              <w:rPr>
                <w:rtl w:val="0"/>
              </w:rPr>
              <w:t xml:space="preserve"> daļas pirmajā teikumā paredzētā astoņu mēnešu termiņa speciālās atļaujas (licences) izsniegšanai noteikšanas nepieciešamību, ņemot vērā to, ka šobrīd Likumā no Administratīvā procesa likuma 64. panta pirmajā daļā paredzētā viena mēneša termiņa atšķirīgs termiņš nav noteikts. Vēršam uzmanību uz to, ka projektā ir paredzēts būtiski pagarināt speciālās atļaujas (licences) izsniegšanas termiņu. Vienlaikus lūdzam normas otrajā teikumā paredzēt, uz kādu termiņu Aizsardzības ministrija varēs pagarināt paredzēto astoņu mēnešu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"(6</w:t>
            </w:r>
            <w:r w:rsidR="00000000" w:rsidRPr="00000000" w:rsidDel="00000000">
              <w:rPr>
                <w:vertAlign w:val="superscript"/>
                <w:rtl w:val="0"/>
              </w:rPr>
              <w:t xml:space="preserve">2</w:t>
            </w:r>
            <w:r w:rsidR="00000000" w:rsidRPr="00000000" w:rsidDel="00000000">
              <w:rPr>
                <w:rtl w:val="0"/>
              </w:rPr>
              <w:t xml:space="preserve">) šā likuma 5. panta ceturtās daļas 6.punktā un sestās daļas 10.punktā noteiktās valsts drošības iestādes pārbaudes termiņa skaitījums sākas pēc visu pārbaudes veikšanai nepieciešamo dokumentu saņemšanas. Valsts drošības iestāde pārbaudi veic trīs mēnešu laikā. Ja objektīvu iemeslu dēļ pārbaudi nav iespējams veikt norādītajā termiņā, valsts drošības iestāde pārbaudes termiņu var pagarināt par trim mēnešiem, par to rakstveidā informējot Aizsardzības ministriju. Ja pārbaudes laikā nepieciešams saņemt papildu informāciju no ārvalstīm, valsts drošības iestāde pārbaudes veikšanas termiņa skaitījumu aptur līdz informācijas saņemšanas dienai, par to nosūtot paziņojumu Aizsardzības ministrijai. Aizsardzības ministrija pēc informācijas saņemšanas par pārbaudes veikšanas termiņa skaitījuma apturēšanu, par to informē komersantu un aptur speciālās atļaujas (licences) izsniegšanas termiņa skaitījumu."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projekta 2. panta 18. daļā ietvertajā Likuma 5. panta 6.</w:t>
            </w:r>
            <w:r w:rsidR="00000000" w:rsidRPr="00000000" w:rsidDel="00000000">
              <w:rPr>
                <w:vertAlign w:val="superscript"/>
                <w:rtl w:val="0"/>
              </w:rPr>
              <w:t xml:space="preserve">2</w:t>
            </w:r>
            <w:r w:rsidR="00000000" w:rsidRPr="00000000" w:rsidDel="00000000">
              <w:rPr>
                <w:rtl w:val="0"/>
              </w:rPr>
              <w:t xml:space="preserve"> daļā paredzētā regulējuma nepieciešamību, jo īpaši pamatojot: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kāpēc valsts drošības iestādes pārbaudes termiņa skaitījums sākas tikai pēc visu dokumentu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kāpēc pārbaudes veikšanai ir nepieciešams trīs mēnešu termiņš, paredzot iespēju šo termiņu pagarināt vēl uz trīs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kāpēc ir nepieciešams paredzēt regulējumu par termiņa apturēšanu, ņemot vērā to, ka Administratīvā procesa likums šādu regulējumu neparedz.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"(6</w:t>
            </w:r>
            <w:r w:rsidR="00000000" w:rsidRPr="00000000" w:rsidDel="00000000">
              <w:rPr>
                <w:vertAlign w:val="superscript"/>
                <w:rtl w:val="0"/>
              </w:rPr>
              <w:t xml:space="preserve">4</w:t>
            </w:r>
            <w:r w:rsidR="00000000" w:rsidRPr="00000000" w:rsidDel="00000000">
              <w:rPr>
                <w:rtl w:val="0"/>
              </w:rPr>
              <w:t xml:space="preserve">) lēmumu par speciālās atļaujas (licences) izsniegšanu vai atteikumu to izsniegt Aizsardzības ministrija pieņem mēneša laikā pēc visu nepieciešamo dokumentu un atzinumu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2. panta 17. daļā ietverto regulējumu, ka speciālo atļauju (licenci) izsniedz astoņu mēnešu laikā no iesnieguma saņemšanas dienas, lūdzam izslēgt projekta 2. panta 20. daļu, kas paredz papildināt Likuma 5. pantu ar 6.</w:t>
            </w:r>
            <w:r w:rsidR="00000000" w:rsidRPr="00000000" w:rsidDel="00000000">
              <w:rPr>
                <w:vertAlign w:val="superscript"/>
                <w:rtl w:val="0"/>
              </w:rPr>
              <w:t xml:space="preserve">4</w:t>
            </w:r>
            <w:r w:rsidR="00000000" w:rsidRPr="00000000" w:rsidDel="00000000">
              <w:rPr>
                <w:rtl w:val="0"/>
              </w:rPr>
              <w:t xml:space="preserve"> daļu, nosakot, ka lēmumu par speciālās atļaujas (licences) izsniegšanu vai atteikumu to izsniegt Aizsardzības ministrija pieņem mēneša laikā pēc visu nepieciešamo dokumentu un atzinumu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projektu tiek īstenotas Līguma par Eiropas Savienības darbību 346. panta pirmās daļas "b" apakšpunktā paredzētās Eiropas Savienības dalībvalsts tiesības, lūdzam aizpildīt anotācijas 5. sadaļu, ailītē "Cita informācija" skaidrojot projektā ietvertā regulējuma atbilstību minētajā daļā ietvertajam regulējumam. Kā arī, ņemot vērā, ka anotācijā ietvertas atsauces uz </w:t>
            </w:r>
            <w:r w:rsidR="00000000" w:rsidRPr="00000000" w:rsidDel="00000000">
              <w:rPr>
                <w:i w:val="1"/>
                <w:rtl w:val="0"/>
              </w:rPr>
              <w:t xml:space="preserve">Eiropas Parlamenta un Padomes 2021. gada 24. marta Direktīvas (ES) 2021/555 par ieroču iegādes un glabāšanas kontroli</w:t>
            </w:r>
            <w:r w:rsidR="00000000" w:rsidRPr="00000000" w:rsidDel="00000000">
              <w:rPr>
                <w:rtl w:val="0"/>
              </w:rPr>
              <w:t xml:space="preserve"> prasībām, tostarp attiecībā uz komersantu profesionālās darbības kontroli, lūdzam izvērtēt un, ja ar projektu (sk., piem., 2. pantā ietvertā Likuma 5. panta ceturto daļu, sestās daļas 3. punktu, 3.</w:t>
            </w:r>
            <w:r w:rsidR="00000000" w:rsidRPr="00000000" w:rsidDel="00000000">
              <w:rPr>
                <w:vertAlign w:val="superscript"/>
                <w:rtl w:val="0"/>
              </w:rPr>
              <w:t xml:space="preserve">1</w:t>
            </w:r>
            <w:r w:rsidR="00000000" w:rsidRPr="00000000" w:rsidDel="00000000">
              <w:rPr>
                <w:rtl w:val="0"/>
              </w:rPr>
              <w:t xml:space="preserve"> punktu) tiek pārņemtas minētās prasības, lūdzam aizpildīt minēto anotācijas sadaļu, jo īpaši 5.4. apakšsadaļas 1. tabulu, un papildināt projektu ar informatīvo atsauci uz minēto direktīvu, vai anotācijas 5. sadaļas ailītē "Cita informāciju" skaidrot projekta atbilstību minētās direktīvas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"(4</w:t>
            </w:r>
            <w:r w:rsidR="00000000" w:rsidRPr="00000000" w:rsidDel="00000000">
              <w:rPr>
                <w:vertAlign w:val="superscript"/>
                <w:rtl w:val="0"/>
              </w:rPr>
              <w:t xml:space="preserve">1</w:t>
            </w:r>
            <w:r w:rsidR="00000000" w:rsidRPr="00000000" w:rsidDel="00000000">
              <w:rPr>
                <w:rtl w:val="0"/>
              </w:rPr>
              <w:t xml:space="preserve">) Aizsardzības ministrija, izsniedzot speciālo atļauju (licenci) komercdarbībai ar Eiropas Savienības Kopējā militāro preču sarakstā minētajām precēm, norāda, ar kurām Eiropas Savienības Kopējā militāro preču sarakstā minētajām precēm individuālajam komersantam vai komercsabiedrībai ir tiesības veikt komercdarbību."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projekta 2. panta astoto daļu, kas paredz papildināt Likuma 5. pantu ar 4.</w:t>
            </w:r>
            <w:r w:rsidR="00000000" w:rsidRPr="00000000" w:rsidDel="00000000">
              <w:rPr>
                <w:vertAlign w:val="superscript"/>
                <w:rtl w:val="0"/>
              </w:rPr>
              <w:t xml:space="preserve">1</w:t>
            </w:r>
            <w:r w:rsidR="00000000" w:rsidRPr="00000000" w:rsidDel="00000000">
              <w:rPr>
                <w:rtl w:val="0"/>
              </w:rPr>
              <w:t xml:space="preserve"> daļu, ņemot vērā to, ka Likuma spēkā esošajā redakcijā jau ir šāda norma.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"(6</w:t>
            </w:r>
            <w:r w:rsidR="00000000" w:rsidRPr="00000000" w:rsidDel="00000000">
              <w:rPr>
                <w:vertAlign w:val="superscript"/>
                <w:rtl w:val="0"/>
              </w:rPr>
              <w:t xml:space="preserve">3</w:t>
            </w:r>
            <w:r w:rsidR="00000000" w:rsidRPr="00000000" w:rsidDel="00000000">
              <w:rPr>
                <w:rtl w:val="0"/>
              </w:rPr>
              <w:t xml:space="preserve">) šā likuma 5.panta ceturtās daļas 6.punktā un sestās daļas 10. punktā noteiktās valsts drošības iestādes pārbaudes termiņa skaitījums sākas pēc visu pārbaudes veikšanai nepieciešamo dokumentu saņemšanas. Valsts drošības iestāde pārbaudi veic trīs mēnešu laikā. Ja objektīvu iemeslu dēļ pārbaudi nav iespējams veikt norādītajā termiņā, valsts drošības iestāde pārbaudes termiņu var pagarināt par trim mēnešiem, par to rakstveidā informējot Aizsardzības ministriju. Ja pārbaudes laikā nepieciešams saņemt papildu informāciju no ārvalstīm, valsts drošības iestāde pārbaudes veikšanas termiņa skaitījumu aptur līdz informācijas saņemšanas dienai, par to nosūtot paziņojumu Aizsardzības ministrijai. Aizsardzības ministrija pēc informācijas saņemšanas par pārbaudes veikšanas termiņa skaitījuma apturēšanu, par to informē komersantu un aptur speciālās atļaujas (licences) izsniegšanas termiņa skaitījumu."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projekta 2. panta 19. daļu, kas paredz papildināt Likuma 5. pantu ar 6.</w:t>
            </w:r>
            <w:r w:rsidR="00000000" w:rsidRPr="00000000" w:rsidDel="00000000">
              <w:rPr>
                <w:vertAlign w:val="superscript"/>
                <w:rtl w:val="0"/>
              </w:rPr>
              <w:t xml:space="preserve">3</w:t>
            </w:r>
            <w:r w:rsidR="00000000" w:rsidRPr="00000000" w:rsidDel="00000000">
              <w:rPr>
                <w:rtl w:val="0"/>
              </w:rPr>
              <w:t xml:space="preserve"> daļu, ņemot vērā to, ka tajā ir ietverts tāds pats regulējums, kāds ietverts projekta 2. panta 18. daļā, kas paredz papildināt Likuma 5. pantu ar 6.</w:t>
            </w:r>
            <w:r w:rsidR="00000000" w:rsidRPr="00000000" w:rsidDel="00000000">
              <w:rPr>
                <w:vertAlign w:val="superscript"/>
                <w:rtl w:val="0"/>
              </w:rPr>
              <w:t xml:space="preserve">2</w:t>
            </w:r>
            <w:r w:rsidR="00000000" w:rsidRPr="00000000" w:rsidDel="00000000">
              <w:rPr>
                <w:rtl w:val="0"/>
              </w:rPr>
              <w:t xml:space="preserve">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projektā nav paredzēts spēkā stāšanās noteikums, aicinām precizēt anotācijas 1.2. apakšsadaļu "Spēkā stāšanās termiņš" vai papildināt projektu ar spēkā stāšanās noteikumu.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26-TA-966</w:t>
    </w:r>
    <w:r>
      <w:br/>
    </w:r>
    <w:r w:rsidR="00000000" w:rsidRPr="00000000" w:rsidDel="00000000">
      <w:rPr>
        <w:rtl w:val="0"/>
      </w:rPr>
      <w:t xml:space="preserve">Izdrukāts 11.05.2026. 20.33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26-TA-966</w:t>
    </w:r>
    <w:r>
      <w:br/>
    </w:r>
    <w:r w:rsidR="00000000" w:rsidRPr="00000000" w:rsidDel="00000000">
      <w:rPr>
        <w:rtl w:val="0"/>
      </w:rPr>
      <w:t xml:space="preserve">Izdrukāts 11.05.2026. 20.33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Atzinumi_26-TA-966.docx</dc:title>
</cp:coreProperties>
</file>

<file path=docProps/custom.xml><?xml version="1.0" encoding="utf-8"?>
<Properties xmlns="http://schemas.openxmlformats.org/officeDocument/2006/custom-properties" xmlns:vt="http://schemas.openxmlformats.org/officeDocument/2006/docPropsVTypes"/>
</file>