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Eiropas Parlamenta un Padomes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minētajiem izslēgšanas kritērijiem (turpmāk – izslēgšanas kritēriji), ja projekta iesniedzējs ir pašvaldības kapitālsabiedrība. Ja konstatē, ka uz pašvaldības kapitālsabiedrību ir attiecināms kaut viens no izslēgšanas kritērijiem, turpmāko projekta iesnieguma vērtēšanu neveic;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gan uz publisko tiesību subjektiem attiecīgie Finanšu regulas 136. pantā minētie kritēriji pēc būtības nevarētu tik attiecināti, ņemot vērā objektīvi pamatotu risku neesamību šajā jomā, tomēr nosacījumam, ka visi projekta iesniedzēji tiek pārbaudīti atbilstoši Finanšu regulā noteiktajiem izslēgšanas kritērijiem, tiesību aktā par investīcijas īstenošanu ir obligāts. Papildus jāakcentē, ka ņemot vērā, ka investīcijas ieviešana plānota veicot atklātu projektu iesniegumu atlasi - visiem pretendentiem jābūt vienādiem nosacījumiem. Ņemot vērā minēto, lūdzam precizēt noteikumu projekta 20.1. apakšpunktu, svītrojot piebildi par pašvaldības kapitālsabiedrībām.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37.1.1. finansējuma saņēmējs sagatavo pieprasījumu avansa maksājumam, kurā pamato avansa maksājuma nepieciešamību un apmēru. Avansa maksājuma apmērs nevar pārsniegt 50 procentus no projektam pieejamā Atveseļošanas fonda finansējuma apmēra un tas ir jāizmanto sešu mēnešu laikā no tā saņemšanas dienas saimnieciskā gada ietvaros. Avansa izmantošanas termiņu var pagarināt, iesniedzot aģentūrai pamatojumu termiņa pagarināšanai;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pamatojoties uz Finanšu ministrijas vadlīniju nr. 1 "Vadlīnijas informatīvā ziņojuma vai Ministru kabineta noteikumu izstrādei par Eiropas Savienības Atveseļošanas un noturības mehānisma plāna reformas vai investīcijas ieviešanu" 70. punktu, avansa maksājumu var plānot ne lielāku kā 30% no projektā paredzētā publiskā finansējuma apmēra. Attiecīgi lūdzam precizēt noteikumu projekta 37.1.1.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37.2.1. finansējuma saņēmējs sagatavo pieprasījumu starpposma maksājumam, kurā pamato investīcijas otrās kārtas projektā faktiski veiktās izmaksas un starpposma maksājuma apmēru. Pieprasījumu starpposma maksājumam finansējuma saņēmējs var iesniegt arī laikposmā, kad finansējuma saņēmējs izmanto šo noteikumu </w:t>
            </w:r>
            <w:r w:rsidR="00000000" w:rsidRPr="00000000" w:rsidDel="00000000">
              <w:rPr>
                <w:rtl w:val="0"/>
              </w:rPr>
              <w:t xml:space="preserve">37.1.1. </w:t>
            </w:r>
            <w:r w:rsidR="00000000" w:rsidRPr="00000000" w:rsidDel="00000000">
              <w:rPr>
                <w:rtl w:val="0"/>
              </w:rPr>
              <w:t xml:space="preserve">apakšpunktā</w:t>
            </w:r>
            <w:r w:rsidR="00000000" w:rsidRPr="00000000" w:rsidDel="00000000">
              <w:rPr>
                <w:rtl w:val="0"/>
              </w:rPr>
              <w:t xml:space="preserve"> minēto avansa maksājumu;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37.2.1. apakšpunktā "Pieprasījumu starpposma maksājumam finansējuma saņēmējs var iesniegt arī laikposmā, kad finansējuma saņēmējs izmanto šo noteikumu 37.1.1. apakšpunktā minēto avansa maksājumu". Vēršam uzmanību, ka no drošas finanšu vadības, starpposma maksājumu var pieprasīt kad ir izmantots pieprasītais avanss un finansējuma saņēmējs ir iesniedzis atbilstošu informāciju par tā izlietošanu Centrālajai finanšu un līgumu aģentūrai.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likumprojekta par valsts budžetu 2024. gadam un budžeta ietvaru 2024., 2025. un 2026. gadam izstrādes laikā paredzēt pašvaldībām iespēju saņemt aizņēmumu 3.1.2.3.i. investīcijas otrās kārtas projekta īstenošanai, nosakot, ka aizņēmuma apmērs nepārsniedz projekta Atveseļošanas fonda finansējuma kopsummu, pievienotās vērtības nodokļa izmaksas un papildu  pašvaldības izmaksas līdz 10 procentiem no projekta Atveseļošanas fonda finansējuma, un attiecīgi palielināt ikgadējo pašvaldību kopējo aizņēmumu limitu.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jautājumi par pašvaldību aizņemšanās  iespējām 2024.gadā, tai skaitā  Atveseļošanas fonda finansēto projektu īstenošanai, ir skatāmi tikai likumprojekta  “Par valsts budžetu 2024. gadam un budžeta ietvaru 2024., 2025. un 2026. gadam” izstrādes procesā, ir nepieciešams precizēt protokollēmuma 6.punktu un attiecīgi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likumprojekta par valsts budžetu 2024. gadam un budžeta ietvaru 2024., 2025. un 2026. gadam izstrādes procesā,  izvērtējot  valsts budžeta iespējas, izstrādāt priekšlikumu pašvaldību  aizņemšanās iespējām  3.1.2.3.i. investīcijas otrās kārtas projekta īstenošanai, tajā skaitā  papildu  pašvaldības izmaksām līdz 10 procentiem no projekta Atveseļošanas fonda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Kapteine-Miezere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finansējuma saņēmēja sagatavots pārskats par izveidotajām pakalpojumu sniegšanas vietām, kas ietver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Ierosinam izvērtēt un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finansējuma saņēmēja sagatavots pārskats par izveidotajām pakalpojumu sniegšanas vietām, kas ietver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8.2.2.1. par ēku skaitu, to atrašanās vietu, platību kvadrātmetros (m2), šo noteikumu 4. punktā minēto mērķa grupas personu izmitināšanai paredzētais vietu skaitu ar finansējuma saņēmēja apstiprinājumu, ka šīs personas būs investīcijas galasaņēmēji, pieejamais aprīkojums;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8.2.2.2. par investīciju apmēru, kas nodrošina pāreju no institucionālās aprūpes uz vietējās kopienas nodrošinātu aprūpi pensijas vecuma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8.2.2.3. ka pabeigtie projekti atbilst Būvju vispārīgo prasību būvnormatīvā LBN 200-21 noteiktajām minimālajām vides pieejamības prasībām un ministrijas izstrādātajiem labās prakses ieteikumiem vides piekļūstamības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Elvīra Prokofjeva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Investīcijas otrās kārtas kopējo attiecināmo finansējumu veido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minētais Atveseļošanas fonda finansējums, finansējums 3 903 507 </w:t>
            </w:r>
            <w:r w:rsidR="00000000" w:rsidRPr="00000000" w:rsidDel="00000000">
              <w:rPr>
                <w:i w:val="1"/>
                <w:rtl w:val="0"/>
              </w:rPr>
              <w:t xml:space="preserve">euro </w:t>
            </w:r>
            <w:r w:rsidR="00000000" w:rsidRPr="00000000" w:rsidDel="00000000">
              <w:rPr>
                <w:rtl w:val="0"/>
              </w:rPr>
              <w:t xml:space="preserve">apmērā, ko pēc pozitīva Eiropas Komisijas viedokļa par Atveseļošanas un noturības mehānisma fonda plāna grozījumiem saņemšanas un līdz Eiropas Komisijas lēmumam par Atveseļošanas fonda finansējuma pieejamību  finansējumu 3 903 507 euro apmērā sedz no valsts budžeta līdzekļiem, un cits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11.punktā vārdu “attiecināmo”, jo AF kontekstā atbilstoši FM “Vadlīnijās informatīvā ziņojuma vai Ministru kabineta noteikumu izstrādei par Eiropas Savienības Atveseļošanas un noturības mehānisma plāna reformas vai investīcijas ieviešanu” noteiktajam šis termins tiek lietots attiecībā uz AF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Investīcijas otrās kārtas kopējo attiecināmo finansējumu veido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minētais Atveseļošanas fonda finansējums, finansējums 3 903 507 </w:t>
            </w:r>
            <w:r w:rsidR="00000000" w:rsidRPr="00000000" w:rsidDel="00000000">
              <w:rPr>
                <w:i w:val="1"/>
                <w:rtl w:val="0"/>
              </w:rPr>
              <w:t xml:space="preserve">euro </w:t>
            </w:r>
            <w:r w:rsidR="00000000" w:rsidRPr="00000000" w:rsidDel="00000000">
              <w:rPr>
                <w:rtl w:val="0"/>
              </w:rPr>
              <w:t xml:space="preserve">apmērā, ko pēc pozitīva Eiropas Komisijas viedokļa par Atveseļošanas un noturības mehānisma fonda plāna grozījumiem saņemšanas un līdz Eiropas Komisijas lēmumam par Atveseļošanas fonda finansējuma pieejamību  finansējumu 3 903 507 euro apmērā sedz no valsts budžeta līdzekļiem, un cits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11.punktā vārdus "un noturības mehānisma", ņemot vērā iepriekš noteikto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Aģentūra ar ministriju saskaņotā termiņā izsludina investīcijas otrās kārtas projektu iesniegumu atlasi, publicējot informāciju par projektu iesniegumu atlases izsludināšanu, pagarināšanu, pārtraukšanu vai izbeigšanu oficiālajā izdevumā “Latvijas Vēstnesis” un tīmekļvietnē  www.cfla.gov.lv.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vārdiem "Latvijas Republikas" pirms vārda "oficiālajā".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Elvīra Prokofjeva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sagatavo un iesniedz vadības informācijas sistēmā vienu investīcijas otrās kārtas projekta iesniegumu. Projekta iesnieguma sagatavošanai un iesniegšanai vadības informācijas sistēmā paredz ne mazāk kā 40 darbdienas.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nozares ministrijas skaidrojumā norādīto par vēlmi nodrošināt projekta iesniedzēju informētību, lūdzam, pilnīgai skaidrībai un precizitātei priekš projektu iesniedzējiem precizēt atskaites brīdi, no kura iestājas 40 darbadienu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sagatavo un iesniedz vadības informācijas sistēmā vienu investīcijas otrās kārtas projekta iesniegumu. Projekta iesnieguma sagatavošanai un iesniegšanai vadības informācijas sistēmā paredz ne mazāk kā 40 darbdienas </w:t>
            </w:r>
            <w:r w:rsidR="00000000" w:rsidRPr="00000000" w:rsidDel="00000000">
              <w:rPr>
                <w:b w:val="1"/>
                <w:rtl w:val="0"/>
              </w:rPr>
              <w:t xml:space="preserve">no informācijas par atlasi publicēšanas dienas Latvijas republikas oficiālajā izdevumā “Latvijas Vēstnesis” un tīmekļvietnē  www.cfla.gov.lv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Investīcijas otrās kārtas projektu iesniegumu vērtēšanai aģentūra izveido projektu iesniegumu vērtēšanas komisiju, kuras sastāvā ir aģentūras pārstāvji un vismaz divi ministrijas pārstāvji. Projektu iesniegumu vērtēšanas komisijas locekļi paraksta apliecinājumu par interešu konflikta neesamību.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pēdējos audita ziņojumos kontekstā ar interešu konflikta jautājumu pārbaudēm ir saņemtas norādes, ka interešu konflikta traktējums ir jāskatās regulas Nr. 2018/1046 61.punkta tvērumā, aicinām precizēt, papildinot 19.punkta beigu daļu ar norādēm uz minēto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pilnīgai skaidrībai (ņemot vērā, ka atlase tiek organizēta atklāta konkursa formātā) aicinām papildināt, ka arī konfidencialitātes apliecinājums ir viens no apliecinājumiem, ko paraksta vērtēšanas komisijas locekļi.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Investīcijas otrās kārtas projektu iesniegumu vērtēšanai aģentūra izveido projektu iesniegumu vērtēšanas komisiju, kuras sastāvā ir aģentūras pārstāvji un vismaz divi  ministrijas pārstāvji. Projektu iesniegumu vērtēšanas komisijas </w:t>
            </w:r>
            <w:r w:rsidR="00000000" w:rsidRPr="00000000" w:rsidDel="00000000">
              <w:rPr>
                <w:b w:val="1"/>
                <w:rtl w:val="0"/>
              </w:rPr>
              <w:t xml:space="preserve">balsstiesīgie </w:t>
            </w:r>
            <w:r w:rsidR="00000000" w:rsidRPr="00000000" w:rsidDel="00000000">
              <w:rPr>
                <w:rtl w:val="0"/>
              </w:rPr>
              <w:t xml:space="preserve">locekļi paraksta apliecinājumu par interešu konflikta neesamību </w:t>
            </w:r>
            <w:r w:rsidR="00000000" w:rsidRPr="00000000" w:rsidDel="00000000">
              <w:rPr>
                <w:b w:val="1"/>
                <w:rtl w:val="0"/>
              </w:rPr>
              <w:t xml:space="preserve">saskaņā ar Eiropas Parlamenta un Padomes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61.punktā noteikto un konfidencialitātes apliecinājumu.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Pēc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minētās investīcijas otrās kārtas projektu iesniegumu sarindošanas: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nozares ministrijai ir ļoti pārdomāti ranžēšanas soļi, aicinām dzēst MK noteikumu 22.punktu, jo CFLA ieskatā ir salīdzinoši maza iespējamība par MK noteikumu 22.punktā minētā mehānisma piemērošanas nepieciešamību. Turklāt MK noteikumu 22.1.apakšpunkts nekādā gadījumā nav objektīvs priekšrocības radošs atlases kritērijs.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Investīcijas otrās kārtas projekta iesnieguma apstiprināšanas un līguma noslēgšanas gadījumā šo noteikumu </w:t>
            </w:r>
            <w:r w:rsidR="00000000" w:rsidRPr="00000000" w:rsidDel="00000000">
              <w:rPr>
                <w:rtl w:val="0"/>
              </w:rPr>
              <w:t xml:space="preserve">31.</w:t>
            </w:r>
            <w:r w:rsidR="00000000" w:rsidRPr="00000000" w:rsidDel="00000000">
              <w:rPr>
                <w:rtl w:val="0"/>
              </w:rPr>
              <w:t xml:space="preserve">  punktā minētās izmaksas ir attiecināmas no 2023. gada 10. marta. To investīcijas otrās kārtas atbalstāmo darbību  izmaksas, kuru īstenošana pabeigta līdz 2023. gada 9. martam, nav attiecināmas finansēšanai no Atveseļošanas fonda. Projekta iesnieguma iesniegšana vadības informācijas sistēmā negarantē Atveseļošanas fonda finansējuma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noteikumu projekta 33. punkta pēdējo teikumu kā atsevišķu punktu noteikumu projekta II nodaļā, ņemot vērā, ka tas attiecas uz projekta iesniegumu vērtēšanu un finansējuma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37.1.2. aģentūra pārbauda šo noteikumu </w:t>
            </w:r>
            <w:r w:rsidR="00000000" w:rsidRPr="00000000" w:rsidDel="00000000">
              <w:rPr>
                <w:rtl w:val="0"/>
              </w:rPr>
              <w:t xml:space="preserve">37.1.1. </w:t>
            </w:r>
            <w:r w:rsidR="00000000" w:rsidRPr="00000000" w:rsidDel="00000000">
              <w:rPr>
                <w:rtl w:val="0"/>
              </w:rPr>
              <w:t xml:space="preserve">apakšpunktā</w:t>
            </w:r>
            <w:r w:rsidR="00000000" w:rsidRPr="00000000" w:rsidDel="00000000">
              <w:rPr>
                <w:rtl w:val="0"/>
              </w:rPr>
              <w:t xml:space="preserve"> minēto pieprasījumu avansa maksājumam un, ja aģentūrai nav iebildumu par avansa maksājuma pamatojumu, veic avansa maksājumu;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noteikt termiņu, kādā tiek izvērtēts avansa maksājuma pieprasījums un veikts maksājums.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37.3.2. aģentūra pārbauda šo noteikumu </w:t>
            </w:r>
            <w:r w:rsidR="00000000" w:rsidRPr="00000000" w:rsidDel="00000000">
              <w:rPr>
                <w:rtl w:val="0"/>
              </w:rPr>
              <w:t xml:space="preserve">37.3.1. </w:t>
            </w:r>
            <w:r w:rsidR="00000000" w:rsidRPr="00000000" w:rsidDel="00000000">
              <w:rPr>
                <w:rtl w:val="0"/>
              </w:rPr>
              <w:t xml:space="preserve">apakšpunktā</w:t>
            </w:r>
            <w:r w:rsidR="00000000" w:rsidRPr="00000000" w:rsidDel="00000000">
              <w:rPr>
                <w:rtl w:val="0"/>
              </w:rPr>
              <w:t xml:space="preserve"> minēto noslēguma maksājuma pieprasījumu un, ja aģentūrai nav iebildumu par noslēguma maksājuma pamatojumu, veic noslēguma maksājumu, ko veido starpība starp projektam pieejamo kopējo Atveseļošanas fonda finansējuma apmēru un avansa maksājuma un starpposma maksājumos norādītā Atveseļošanas fonda finansējuma kopsummu;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37.3.2.apakšpunktā palīgteikumu "ko veido starpība starp projektam pieejamo kopējo Atveseļošanas fonda finansējuma apmēru un avansa maksājuma un starpposma maksājumos norādītā Atveseļošanas fonda finansējuma kopsummu", jo līdz šim praksē citos Ministru kabineta noteikumos par Eiropas savienības fondu projekta īstenošanu nav aprakstīts noslēguma maksājuma aprēķināšanas algoritms, ņemot vērā to, ka to horizontāli reglamentē CFLA iekšējie noteikumi visiem ES fondu atbalsta pasākumu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 maksājumu veikšanas kārtību regulē Ministru kabineta 2015. gada 17. marta noteikumi Nr. 130 "Noteikumi par valsts budžeta līdzekļu plānošanu Eiropas Savienības struktūrfondu un Kohēzijas fonda projektu īstenošanai un maksājumu veikšanu 2014.–2020.gada plānošanas periodā", proti, 22.punktā, nosakot, ka sadarbības iestāde pieņem maksājuma pieprasījumus, pārbauda tos un atmaksā attiecināmos izdevumus finansējuma saņēmējam (ja attiecināms) </w:t>
            </w:r>
            <w:r w:rsidR="00000000" w:rsidRPr="00000000" w:rsidDel="00000000">
              <w:rPr>
                <w:b w:val="1"/>
                <w:rtl w:val="0"/>
              </w:rPr>
              <w:t xml:space="preserve">līgumā noteiktajā kārtībā</w:t>
            </w:r>
            <w:r w:rsidR="00000000" w:rsidRPr="00000000" w:rsidDel="00000000">
              <w:rPr>
                <w:rtl w:val="0"/>
              </w:rPr>
              <w:t xml:space="preserve">, līdz ar to nav nepieciešamības detalizēti aprakstīt noslēguma maksājuma aprēķināšanas algoritmu specifiskā atbalsta mērķa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Timermanis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Ģimeniskai videi pietuvināta pakalpojuma sniegšanas ēku izveidi plāno uz zemes īpašuma, kas ir finansējuma saņēmēja īpašumā vai finansējuma saņēmējam ir Valsts vienotajā datorizētajā zemesgrāmatā nostiprinātas lietošanas tiesības līdz 2031. 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MK noteikumu projekta 38.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Ģimeniskai videi pietuvināta pakalpojuma sniegšanas ēku izveidi plāno uz zemes īpašuma, kas ir finansējuma saņēmēja īpašumā vai finansējuma saņēmējam ir Valsts vienotajā datorizētajā zemesgrāmatā nostiprinātas lietošanas tiesības uz termiņu, kas nav īsāks par 2031.gada 31.decembri.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Elvīra Prokofjeva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40.7. iepirkumu līgumos avansa maksājumus var paredzēt ne vairāk kā 50 procentu  apmērā no attiecīgā līguma 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40.7.apakšpunktu, ņemot vērā to, ka CFLA nepieciešamības gadījumā operatīvi konsultē finansējuma saņēmēju par  izsniegtajiem avansiem pakalpojumu sniedzējiem. Šī ierobežojuma neiekļaušana MK noteikumos ļaus operatīvāk risināt projektu vadības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Timermanis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apvienot 3.9.2. un 3.9.3.apakškritērijus vienā un izteikt solījuma nevis priekšlikuma formātā.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apliecina, ka ir pietiekama cilvēkresursu un administratīvā kapacitāte, kā arī finanšu kapacitāte projekta īstenošanai, t.sk. ir saņemta pašvaldības garantija izmaksu pieauguma rezultātā radušos izmaksu segšanai – 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un precizēt MK noteikumu 1.pielikumā izslēgšanas kritērijam Nr. 1.1. atsauces Nr. 3. redakciju attiecībā uz atbilstības kritērija Nr. 2.6. vērtēšanu, t.i., norādot  atbilstības kritēriju Nr. 2.2. (nodokļu parādu statuss).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Elvīra Prokofjeva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papildināt anotāciju ar izvērstākiem piemēriem, skaidrojumiem, kādas izmaksas klasificējas zem MK noteikumu 30.2.apakšpunktā noteikto atbalstāmo darbību “</w:t>
            </w:r>
            <w:r w:rsidR="00000000" w:rsidRPr="00000000" w:rsidDel="00000000">
              <w:rPr>
                <w:i w:val="1"/>
                <w:rtl w:val="0"/>
              </w:rPr>
              <w:t xml:space="preserve">teritorijas labiekārtošana”</w:t>
            </w:r>
            <w:r w:rsidR="00000000" w:rsidRPr="00000000" w:rsidDel="00000000">
              <w:rPr>
                <w:rtl w:val="0"/>
              </w:rPr>
              <w:t xml:space="preserve">. Šobrīd diezgan nepietiekams un interpretējams skaidrojums, piem., teritorijas labiekārtošanas ietvaros var paredzēt arī teritorijas pielāgojumus brīvā laika pavadīšanai vai, piem., Senioru ĢVPP attīstīšanas teritorijā plānots veikt labiekārtošanas darbus, piemēram, koku stādīšanu, apzaļumošanu. Tāpat, priekšlikums izvērtēt, vai nav nepieciešams tomēr noteikt ierobežojumus šo izmaksu īpatsvaram no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tāpat arī precizēt, papildināt anotāciju arī par MK noteikumu 30.5.apakšpunktā noteikto atbalstāmo darbību </w:t>
            </w:r>
            <w:r w:rsidR="00000000" w:rsidRPr="00000000" w:rsidDel="00000000">
              <w:rPr>
                <w:i w:val="1"/>
                <w:rtl w:val="0"/>
              </w:rPr>
              <w:t xml:space="preserve">"vides pieejamības konsultācijas"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Finanšu ministrijas 19.04.2023. atzinumā izteikto 8.iebildumu joprojām uzskatām, ka anotācijas 1.3.sadaļas punktā “Risinājuma apraksts” tabulas “Projekta vadības personāla izmaksu aprēķins” ailē “Amata saime” nepieciešams norādīt arī projektu vadītāja un projekta koordinatora amatu apakšsaimes, ņemot vērā, ka atbilstoši MK 26.04.2022. noteikumu Nr.262 “Valsts un pašvaldību institūciju amatu katalogs, amatu klasifikācijas un amatu apraksta izstrādāšanas kārtība” 1.pielikumam 39.amatu saimei ir 3 apakšsaimes. Vienlaikus  ailē “Mēnešalgas grupa” norādītā mēnešalgu grupa grāmatveža/finansista un juriskonsulta/iepirkumu speciālista amatam neatbilst ailē “Amata saime” norādītajai amatu saimei.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Labklājības ministrijai palielināt Atveseļošanas un noturības mehānisma fonda plāna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(turpmāk – 3.1.2.3.i. investīcija) otrās kārtas īstenošanai nepieciešamo papildu finansējumu 3 903 507 </w:t>
            </w:r>
            <w:r w:rsidR="00000000" w:rsidRPr="00000000" w:rsidDel="00000000">
              <w:rPr>
                <w:i w:val="1"/>
                <w:rtl w:val="0"/>
              </w:rPr>
              <w:t xml:space="preserve">euro </w:t>
            </w:r>
            <w:r w:rsidR="00000000" w:rsidRPr="00000000" w:rsidDel="00000000">
              <w:rPr>
                <w:rtl w:val="0"/>
              </w:rPr>
              <w:t xml:space="preserve">apmērā, ja saņemts pozitīvs Eiropas Komisijas viedoklis par iesniegtajiem Latvijas Atveseļošanas un noturības mehānisma fonda plāna grozījumiem attiecībā uz konkrētajām investīcijām pirms galīgā Eiropas Komisijas lēmuma pieņemšanas, izdevumus priekšfinansējot no valsts budžeta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"fonda". Vēršam uzmanību, ka attiecīgā finanšu instrumenta nosaukums ir "Atveseļošanas un noturības mehānisms" vai saīsinājumā "Atveseļošanas fonds".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3.1.2.3.i. investīcijas otrajā kārtā šādu mērķrādītāju noteikšanu un to sasniegšanu šādos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MK noteikumu 4.punktu atbikstoši MK noteikumu 7.punktam, papildinot 4.1.apakšpunktā noteikto ar mērķrādītāja skaitu pēc Eiropas Komisijas lēmuma par Atveseļošanas fonda plāna grozījumu priekšlikumiem.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3.1.2.3.i. investīcijas otrajā kārtā šādu mērķrādītāju noteikšanu un to sasniegšanu šādos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līdz 2023. gada 30. jūnijam – 18 līgumu noslēgšana ar pašvaldībām par projektu īstenošanu (pēc Eiropas Komisijas lēmuma par Atveseļošanas fonda plāna grozījumu priekšlikumiem  – līdz 2023. gada 31. decembrim </w:t>
            </w:r>
            <w:r w:rsidR="00000000" w:rsidRPr="00000000" w:rsidDel="00000000">
              <w:rPr>
                <w:b w:val="1"/>
                <w:rtl w:val="0"/>
              </w:rPr>
              <w:t xml:space="preserve">– 17 līgumu noslēgšana ar pašvaldībām par projekta īstenošanu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līdz 2024. gada 31. decembrim (pēc Eiropas Komisijas lēmuma par Atveseļošanas fonda plāna grozījumu priekšlikumiem  – līdz 2026. gada 30. jūnijam) – jaunu vietu nodrošināšana 852 senioriem tādu ilgtermiņa aprūpes pakalpojumu saņemšanai, kas pietuvināti ģimeniskai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Labklājības ministrijai iesniegt Ministru kabinetā priekšlikumus rīcībai gadījumā, ja netiek saņemts pozitīvs Eiropas Komisijas lēmums par Atveseļošanas fonda plāna grozījumu priekšlikumiem, kas paredz mērķrādītāju sasniegšanu protokollēmuma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noteiktajos termiņos un protokollēmuma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 minētā mērķrādītāja vērtības samazināšanu.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protokollēmuma 5.punktā vārdus "Atveseļošanas fonda" ar vārdiem "Atveseļošanas un noturības mehānisma", attiecīgu precizējumu lūdzam veikt arī protokollēmuma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22.05.2023. 17.20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22.05.2023. 17.20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Atzinumi_22-TA-3345.docx</dc:title>
</cp:coreProperties>
</file>

<file path=docProps/custom.xml><?xml version="1.0" encoding="utf-8"?>
<Properties xmlns="http://schemas.openxmlformats.org/officeDocument/2006/custom-properties" xmlns:vt="http://schemas.openxmlformats.org/officeDocument/2006/docPropsVTypes"/>
</file>