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paredzētais pienākums no 01.01.2027. publicēt informāciju par visiem ceturkšņa izdevumiem attiecībā uz veiktajiem iepirkumiem un noslēgtajiem iepirkuma līgumiem iestāžu tīmekļvietnēs nav samērīgs un ir pretrunā pakāpeniskai publisko iepirkumu sistēmas reformas ieviešanai, kas, kā minēts anotācijā, ir ļoti nepieciešama, lai iegūtu laiku pielāgojumu veikšanai ar mērķi novērst manuālu datu apkopošanu un ievadi un ar to saistītā administratīvā sloga mazināšanu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(turpmāk – ĀM) atkārtoti vērš uzmanību uz ĀM īpašo situāciju, kas izriet no spēkā esošajiem tiesību aktiem. Proti, Latvijas diplomātiskajām un konsulārajām pārstāvniecībām ārvalstīs (turpmāk – pārstāvniecības) ir divējāda daba – atbilstoši 1961.gada Vīnes konvencijai par diplomātiskajiem sakariem un 1963.gada Vīnes konvencijai par konsulārajiem sakariem, civiltiesiskajās attiecībās ārvalstīs pārstāvniecība rīkojas kā patstāvīga juridiska persona un funkciju īstenošanai sava budžeta ietvaros veic patstāvīgus iepirkumus. Savukārt Latvijas valsts pārvaldes sistēmā saskaņā ar Diplomātiskā un konsulārā dienesta likuma 4.panta piekto daļu pārstāvniecības ir ĀM struktūrvienības, pārstāvniecībām nav sava atsevišķa reģistrācijas numura, kas nozīmē, ka jebkāda veida datu publicēšana ir jāveic centralizēti ĀM. Nepieciešamo datu (īpaši attiecībā uz pārstāvniecību darījumiem mītnes zemē ar ārvalstu piegādātājiem) centralizēta regulāra iegūšana, apstrāde (piemēram, līgumu un maksājumu apliecinošo dokumentu tulkošana) un publicēšana ĀM un pārstāvniecībām radīs būtisku administratīvo slogu, kas, savukārt, var kavēt pārstāvniecību funkciju īstenošanu, jo pārstāvniecību kapacitāte šādu uzdevumu veikšanai ir ierobežota vai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ĀM ir nepieciešams Publisko iepirkumu likuma (turpmāk – PIL) pārejas noteikumos noteiktais laiks līdz 01.01.2028., lai pielāgotos nepieciešamo datu centralizētai iegūšanai un apstrādei pēc iespējas efektīvākā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atzīmēt, ka publicēto datu sadrumstalotība pa iestāžu tīmekļvietnēm nodrošina tikai tiesību akta projekta mērķa formālu izpildi, jo tā nebūs pieejama vienkopus un būs atšķirīgās formās, kas ievērojami apgrūtinās datu ieguvi, apstrādi un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Voloha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 minētais ĀM priekšlikums netiek ņemts vērā – šobrīd uz pārstāvniecību iepirkumiem attiecas PIL 5.panta 10.punktā noteiktais iepirkuma procedūru piemērošanas izņēmums, uz ko neattiecas iepirkumu faktiskās izpildes publicēšanas pienākums līdz 01.01.2028., līdz ar ko, balstoties uz iepriekš minētajiem apsvērumiem, lūdzam noteikt, ka tiesību akta projektā paredzētais pienākums neattiecas uz pārstāvniecību veiktajiem iepirkumiem mītnes zemē ar ārvalstu piegādātājiem.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Šo noteikumu 20.9.</w:t>
            </w:r>
            <w:r w:rsidR="00000000" w:rsidRPr="00000000" w:rsidDel="00000000">
              <w:rPr>
                <w:vertAlign w:val="superscript"/>
                <w:rtl w:val="0"/>
              </w:rPr>
              <w:t xml:space="preserve">1</w:t>
            </w:r>
            <w:r w:rsidR="00000000" w:rsidRPr="00000000" w:rsidDel="00000000">
              <w:rPr>
                <w:rtl w:val="0"/>
              </w:rPr>
              <w:t xml:space="preserve"> apakšpunkta prasības neattiecas uz Latvijas diplomātiskās un konsulārās pārstāvniecības veiktajiem iepirkumiem un noslēgtajiem iepirkuma līgumiem savu funkciju nodrošināšanai, ja iepirkums vai iepirkuma līgums tiek izpildīts pārstāvniecības akreditācijas valstī vai citā valstī, kurā akreditēts pārstāvniecības vadītājs, un ja piegādātāja reģistrācijas vai pastāvīgās dzīvesvietas valsts nav Latvija.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Voloha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cik ilgi iestādes tīmekļvietnē ir jāsaglabā publicētā informācija par ceturksni - tikai par attiecīgo ceturksni (dzēšot iepriekšējā ceturkšņa informāciju) vai arī jāsaglabā publicētā informācija par visiem ceturkšņiem.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Voloha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