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metodoloģisks atbalsts norišu izstrādei, pilnveidei un nodrošināšanai, un labās prakses izplatīšana;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plānoto metodoloģiskā atbalsta ieviešanas risinājumu. Atkārtoti vēršam uzmanību, ka pasākuma ieviešana tiek plānota, izmantojot ārējo kompetenci (norises). Attiecīgi, pamatojoties uz izziņā sniegto informāciju, izglītības iestādēs un pašvaldībās plānotās darbības pēc būtības nodrošina informācijas atbalstu un sadarbības pasākumus. Ja tādi ir nepieciešami, attiecīgi finansējums plānojams kā projekta vadības izmaksu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pēc būtības paredzēts nodrošināt metodoloģisko atbalstu norišu īstenotājiem, aicinām izvērtēt šīs darbības ietvaros funkciju deleģēt STEM interešu izglītības centriem, kam šī funkcija noteikta jau esošajos tiesību aktos un attiecīgi efektīvi pārvirzot plānotos resursus gala labuma saņēmēju skaita (bērnu) palielināšanai.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