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norāda, ka šobrīd augstākās izglītības standarts nenodrošina Augstskolu likumā paredzēto iespēju veidot apakšprogrammas, kas ļauj nodrošināt studiju programmu pabeigšanu gan ar iegūstamu grādu, gan ar grādu un iegūtu kvalifikāciju. Tiesību akta regulējumam nepārprotami jānodrošina abas iespējas, jo darba devēji par būtisku uzskata tieši otrās grupas speciālistu sagatavošanu un piedāvātais risinājums neveido motivāciju augstskolām piedāvāt studiju programmas ar kvalifikācijas ieguvi.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Studiju rezultātus vērtē 10 ballu skalā: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piedāvātais vērtēšanas risinājums metodoloģiski ir pilnībā atšķirīgs, kā izmanto vispārējā izglītībā (pamatizglītības un vidējās izglītības standarts), profesionālās izglītībā (profesionālās izglītības standarts). Šī ir trešā vērtēšanas pieeja, kas ir pretrunā ar citu līmeņu vērtēšanas skalām vai definētiem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izglītības sistēmā būtu jābūt vienotai izpratnei par nepietiekamu sniegumu vai izcilu sniegumu, vai atšķirīgu pieeju būtu jāpamato pēc būtības, lūdzam atkārtoti ministriju vērtēt vērtēšanas pieeju un sinhronizēt to izglītībā neatkarīgi no izglītības līmeņa.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iekļaut tiesību aktā skaidru regulējumu attiecībā uz īsā cikla programmu īstenošanu un sasaisti ar studiju iespējām pirmā cikla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