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protokollēmumu papildināt ar jaunu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Kultūras ministrija piekrita šādam risinājumam, jo sarunās tika panākta vienošanās, ka, lai kāpinātu Eiropas Savienības fondu apguvi, Kultūras ministrija pārcels uz ES fondu finansējumu projektus, kas tiek finansēti no valsts budžeta, tādējādi atslogojot budžetu un Kultūras ministrijas budžeta finansējumu varētu pārvirzīt aktuālajiem kultūras nozares projektiem. Kultūras ministrija Finanšu ministrijai bija sniegusi attiecīgu informāciju, uz kuru iepriekš netika sniegta informācija, ka šāda pārdale nebūs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protokollēmuma 4.1.punktu un informatīvā ziņojuma 7.pielikumu atļaut Kultūras ministrijai no valsts budžetā plānoto investīciju apmēru pārdalīt kultūras nozares izdevumiem. Kultūras ministrijai sagatavot pārdales priekšlikumus un iesniegt Finanšu ministrijā pēc  protokollēmuma 4.1.punktā minēto normatīvo aktu apstiprināšanas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Marnica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jaunu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ministre divās iepriekšējās attīstības komitejās ir informējusi par 5.1.1.6. pasākuma aktualitāti un lielu pašvaldību interesi, kā arī kultūras mantojuma projekti neparedzētu situāciju dēļ nereti tiek īstenoti ilgāk, tādēļ, lai pabeigtu objektu atjaunošanu līdz 2029.gadam, programmas īstenošana jāuzsāk ne vēlāk kā 2025.gada 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izvērtēt iespēju piemērot izņēmuma risinājumu, atbrīvojot elastības finansējumu 5.1.1.6. pasākuma ietvaros pirms 2026.gada, ņemot vērā Latvijas Pašvaldību savienības Eiropas Savienības fondu 2021.-2027.gada plānošanas perioda 5.politikas mērķa “Iedzīvotājiem tuvāka Eiropa” apakškomitejas 29.02.2024. sēdē sniegto viedokli, ka 5.1.1.6.pasākuma atlasei pieejamais finansējums pašvaldībās plānoto investīciju projektu īstenošanai ir nepietiekams.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Marnica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07.05.2024.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07.05.2024.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Atzinumi_24-TA-735.docx</dc:title>
</cp:coreProperties>
</file>

<file path=docProps/custom.xml><?xml version="1.0" encoding="utf-8"?>
<Properties xmlns="http://schemas.openxmlformats.org/officeDocument/2006/custom-properties" xmlns:vt="http://schemas.openxmlformats.org/officeDocument/2006/docPropsVTypes"/>
</file>