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būves, inženiertehniskās sistēmas un iekārtas, kas uzkrāj vai ražo enerģiju no atjaunojamajiem energoresursiem;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nākotnē, lūdzam noteikumu ietvaros noteikt, ka "atjaunojamā enerģija" atbilst Komisijas regulas Nr.651/2014 2.panta 102.d)punktā noteiktajai definīcijai un vārdu "būve" attiecībā uz atjaunojamajiem energoresursiem neizmantot. Atbilstoši lūdzam veikt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32.6.5. monitorings;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monitoringa izmaksas atbilst Komisijas regulas Nr.651/2014 45.panta mērķim. Lūdzam pārskatīt un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uzbūvētā infrastruktūra paliek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skaidroto izziņas 60.punktā:</w:t>
            </w:r>
            <w:r w:rsidR="00000000" w:rsidRPr="00000000" w:rsidDel="00000000">
              <w:rPr>
                <w:i w:val="1"/>
                <w:rtl w:val="0"/>
              </w:rPr>
              <w:t xml:space="preserve"> "[..] Valdījuma tiesības neizslēdz iespēju valdījumā esošo īpašumu pārņemt projekta iesniedzēja īpašumā arī ātrāk.", </w:t>
            </w:r>
            <w:r w:rsidR="00000000" w:rsidRPr="00000000" w:rsidDel="00000000">
              <w:rPr>
                <w:rtl w:val="0"/>
              </w:rPr>
              <w:t xml:space="preserve">lūdzam papildināt anotāciju ar informāciju, ka gadījumā, ja valdījuma tiesības valdījumā esošo īpašumu plānots pārņemt projekta iesniedzēja īpašumā arī ātrāk, tiks nodrošināts, ka no publiskiem resursiem finansētās infrastruktūras nodošana trešajām personām saimnieciskās darbības veikšanai tiks nodota par cenu, kas atbilst tirgus vērtībai.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 atbalsta saņēmējs apstiprina, ka tas pēdējo divu gadu laikā pirms pieteikšanās uz atbalstu nav veicis pārcelšanu regulas Nr. 651/2014 2.panta 61.a punkta izpratnē uz uzņēmējdarbības vietu, kurā tiks veikts sākotnējais ieguldījums, kuram pieprasīts atbalsts, un apņemas to nedarīt divus gadus pēc tam, kad ir pabeigts sākotnējais ieguldījums, kuram tiek pieprasīts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normu ar "ieguldījumu pabeigšanas" definīciju atbilstoši Komisijas regulas Nr.651/2014 47.a)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 ikvienu sākotnējo ieguldījumu, kuru tas pats atbalsta saņēmējs (grupas līmenī) ir sācis triju gadu laikā no dienas, kad sākti darbi pie cita atbalstītā ieguldījuma tajā pašā NUTS 3. līmeņa reģionā, uzskata par daļu no vienota ieguldījumu projekta. Ja šis vienotais ieguldījumu projekts ir liels ieguldījumu projekts, atbalsta kopsumma vienotajam ieguldījumu projektam nepārsniedz lieliem ieguldījumu projektiem noteikto koriģēto atbalsta summu, kuru nosaka atbilstoši regulas Nr. 651/2014 2.panta 20.punktam;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Nr.651/2014 14.panta 13.punkta prasībām, lūdzam normu papildināt, ka ikviens ieguldījums ir saistīts ar vienu un to pašu līdzīgu darbību, kas definēta Komisijas regulas Nr.651/2014 2.panta 50.punktā.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attiecināmās papildu izmaksas nosaka saskaņā ar regulas Nr.651/2014 2. panta 118. punktu ar finansējuma deficītu saprotot neto papildu izmaksas, kuras nosaka kā starpību starp atbalstāmā projekta saimnieciskās darbības ieņēmumiem un izdevumiem, ieskaitot ieguldījumu un darbības nodrošināšanas izmaksas, un alternatīvā projekta, kuru projekta iesniedzējs īstenotu, ja nebūtu komercdarbības atbalsta, saimnieciskās darbības ieņēmumiem un izdevumiem, ieskaitot ieguldījumu un darbības nodrošināšanas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 aicinām šo normu precizēt, ka attiecināmās papildu izmaksas nosaka saskaņā ar regulas Nr.651/2014 2. panta 118. 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 attiecināmās papildu izmaksas nosaka kā finansējuma deficītu atbilstoši Komisijas regulas Nr.651/2014 2. panta 118.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Regulas Nr. 651/2014 45.pantu piemēro projekta iesniedzējam un sadarbības partnerim ieguldījumiem: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Nr.651/2014 45.panta 3. punktā noteikto, tas ir, ka šo atbalstu nepiemēro, lai novērstu dabas katastrofas un Komisijas regulas Nr.651/2014 45.panta 4.punktā noteikto, ka šo pantu nepiemēro atbalstam remediācijai un sanācijai pēc elektrostacijas slēgšanas, lūdzam atbilstoši papildināt 54.punkta apakšpunktu, lai nodrošinātu atbilstību konkrētajiem regulas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Regulas Nr. 651/2014 45.pantu piemēro projekta iesniedzējam un sadarbības partnerim ieguldījumiem: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ietverta remediācijas un sanācijas definīcija atbilstoši Komisijas regulas Nr.651/2014 2.panta 121.a) un 121.b)punktam, lūdzam definīcijas iestrādāt arī noteikumu projektā, lai atbalsta pretendentam jau sākotnēji no noteikumu projekta teksta būtu skaidrs, kāds ir remediācijas un sanācijas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atbalsts netiek piešķirts grūtībās nonākušiem uzņēmumiem (tai skaitā grūtībās nonākušai pašvaldības kapitālsabiedrībai, kas ir noslēgusi pakalpojumu līgumu par sabiedrisko pakalpojumu sniegšanu), kuri atbilst vismaz vienai no regulas Nr. 651/2014 2. panta 18. punktā paredzētajām situācijām;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ietverts izziņas 85.punktā. Atkārtoti lūdzam papildināt noteikumu projektu ar normu, ka Komisijas regulas Nr. 651/2014 2. panta 18. punkta c) apakšpunkta nosacījums tiks pārbaudīts, piemēram, balstoties uz atbalsta pretendenta iesniegtu apliecinājumu. No tiesību piemērotāja viedokļa šai prasībai ir jābūt iekļautai arī tiesību aktā, saskaņā ar kuru atbalsta pretendents piesakās atbalsta saņemšanai, jo īpaši ņemot vērā faktu, ka pārbaudi nav iespējams veikt, pamatojoties uz publiskajos reģistros pieejamo informāciju, bet paļaujoties tikai uz pretendenta iesniegtu apliecinājumu. Attiecīgi atbalsta pretendentam, jau sākotnēji ir jābūt zināmam, ka šāds apliecinājums ir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 piešķirot regulas Nr. 651/2014 56.panta atbalstu, ievēroti regulas Nr. 651/2014 56. panta 7. punkta nosacījumi, kas paredz, ka atbrīvojumu saskaņā ar šo pantu nepiešķir mērķorientētai infrastruktūrai.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normas skaidrībai, papildināt to ar atsauci uz "mērķorientētas infrastruktūras" definīciju, kas noteikta Komisijas regulas Nr.651/2014 2.panta 33.punktā.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62.4.5. ūdenssaimniecības un siltumapgādes sabiedrisko pakalpojumu sniedzējam piešķirtās ekskluzīvās vai īpašās tiesības, to būtību norādot ar atbilstošo pašvaldības administratīvo teritoriju vai pašvaldības administratīvās teritorijas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nosacījums par īpašo vai ekskluzīvo tiesību būtības noteikšanu pilnvarojuma aktā ir noteikts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apakšpunktā, kura prasības tiek pārņemtas šajā noteikumu projektā un tas ir attiecināms uz īpašo vai ekskluzīvo tiesību būtību, nevis teritoriju, lūdzam precizēt šo normu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62.4.5. ūdenssaimniecības un siltumapgādes sabiedrisko pakalpojumu sniedzējam piešķirto ekskluzīvo vai īpašo tiesību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69.punktā sniegto skaidrojumu, ka</w:t>
            </w:r>
            <w:r w:rsidR="00000000" w:rsidRPr="00000000" w:rsidDel="00000000">
              <w:rPr>
                <w:i w:val="1"/>
                <w:rtl w:val="0"/>
              </w:rPr>
              <w:t xml:space="preserve"> "[..]Regulas Nr. 651/2014 48. panta 2. punkta nosacījums ir vērtējams valsts līmenī, nevis MK noteikumu projekta līmenī. Latvijā spēkā esošais Enerģētikas likums regulē enerģētiku kā tautsaimniecības nozari kopumā, kas aptver tajā skaitā arī  enerģijas sadali. Saskaņā ar Enerģētikas likuma 15.panta 1. prim apakšpunktā minēto sistēmas operatori, kuri veic tai skaitā sadales pakalpojumus, tarifus saskaņo ar Sabiedrisko pakalpojumu regulēšanas komisiju. Attiecīgi Sabiedrisko pakalpojumu regulēšanas komisijas tīmekļa vietnē pieejama informācija par visiem Latvijas teritorijā esošajiem sadales sistēmas operatoriem, kuriem piešķirtas licences. Līdz ar to MK noteikumu projektā plānotās izmaksas elektroenerģijas pieslēgumiem, kas būs sadales sistēmas operatora īpašumā, atbilst Regulas Nr. 651/2014 48. panta 2. punkta nosacījumam.", </w:t>
            </w:r>
            <w:r w:rsidR="00000000" w:rsidRPr="00000000" w:rsidDel="00000000">
              <w:rPr>
                <w:rtl w:val="0"/>
              </w:rPr>
              <w:t xml:space="preserve">lūdzam ar šo informāciju papildināt arī anotāciju, lai būtu skaidrs pamatojums attiecībā uz Regulas Nr. 651/2014 48. panta 2. punkta nosacījuma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skaidroto anotācijā: </w:t>
            </w:r>
            <w:r w:rsidR="00000000" w:rsidRPr="00000000" w:rsidDel="00000000">
              <w:rPr>
                <w:i w:val="1"/>
                <w:rtl w:val="0"/>
              </w:rPr>
              <w:t xml:space="preserve">"Atbilstoši Sabiedrisko pakalpojumu regulēšanas komisijas tīmekļa vietnē pieejamajai informācijai elektroenerģijas sadales nozarē darbojas vairāki uzņēmumi, tai skaitā AS “Sadales tīkls”., </w:t>
            </w:r>
            <w:r w:rsidR="00000000" w:rsidRPr="00000000" w:rsidDel="00000000">
              <w:rPr>
                <w:rtl w:val="0"/>
              </w:rPr>
              <w:t xml:space="preserve">lūdzam anotācijā norādīt, kāda situācija būs attiecināma uz pārējiem uzņēmumiem, kas darbojas elektroenerģijas sadales nozarē, t.i., atbilstoši Komercdarbības atbalsta kontroles likuma 5.pantam, vai atbalsts šī noteikumu projekta ietvaros tiem būtu kvalificējams kā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32.10.</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32.10. minētajām uzņēmuma (pakalpojuma) līguma izmaksām netiek aprēķināta noteikumu projekta 31.punktā minētā netiešo izmaksu vienotā likme. Līdz ar to lūdzam izvērtēt un attiecīgi precizēt noteikumu projekta 31.punkta vai 32.10.apakšpunkta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32.9.2.</w:t>
            </w:r>
            <w:r w:rsidR="00000000" w:rsidRPr="00000000" w:rsidDel="00000000">
              <w:rPr>
                <w:rtl w:val="0"/>
              </w:rPr>
              <w:t xml:space="preserve"> apakšpunktā minētās izmaksas (piemēram, būves un inženiertehniskās sistēmas un iekārtas, kas uzkrāj vai ražo enerģiju no atjaunojamiem energoresursiem, autoruzraudzība, būvuzraudzība, nodošana ekspluatācijā) ir attiecināmas, ja tās veido projekta ietvaros radīto pamatlīdzekļu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eWIKI Eiropas Komisijas 2023.04.13. sniegtajai atbildei Horvātijai, publicēšanas prasības, ciktāl to mērķis ir atzīt Savienības finansējuma izcelsmi un nodrošināt tā redzamību, Eiropas Komisijas ieskatā, nav komercdarbības atbalsts, jo dalībvalstij ir pienākums bez jebkādas rīcības brīvības nodrošināt “informāciju, saziņu un publicitāti” saskaņā ar Savienības tiesību aktiem (Atbilstoši Eiropas Parlamenta un Padomes regulas (ES) 2021/241 (2021. gada 12. februāris), ar ko izveido Atveseļošanas un noturības mehānismu 34.pants). Lūdzam pārskatīt un nepieciešamības gadījumā precizēt publicēšanas prasību attiecināmību komercdarbības atbalsta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Komercdarbības atbalstu projekta iesniedzējam un sadarbības partnerim piešķir, ja ievēroti arī visi šādi regulas Nr. 651/2014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normas ievaddaļu, lai ir skaidrs, ka šos nosacījumus jāievēro, ja atbalstu piešķir ar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punkta sadaļu "Remediācijas un sanācijas darbi" papildināt ar skaidrojumu par principu “piesārņotājs maksā”, t.sk., kā un kur plānots iegūt informāciju, ka piesārņoto vietu remediācijai vai sanācijai nav iespējams noteikt piesārņojuma radītāju principa “piesārņotājs maksā”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Ozola-Tīruma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07.08.2023.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07.08.2023.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Atzinumi_23-TA-460.docx</dc:title>
</cp:coreProperties>
</file>

<file path=docProps/custom.xml><?xml version="1.0" encoding="utf-8"?>
<Properties xmlns="http://schemas.openxmlformats.org/officeDocument/2006/custom-properties" xmlns:vt="http://schemas.openxmlformats.org/officeDocument/2006/docPropsVTypes"/>
</file>