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veikto administratīvo izmaksu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noteikumu 13. punktā noteiktā informācijas sniegšanas pienākuma izpildē nav ieskaitāms laiks lēmuma sagatavošanai, jo pienākumu izdot lēmumu nenosaka 13. punktā noteiktais. Konkrētajā gadījumā lēmuma pieņemšana ir iestādes funkcija, kas nav aprēķināma administratīvā sloga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ir iekļaujams laiks, kas tiek izmantots paziņojuma par lēmumu sagatavošanai, saskaņošanas process (ja tāds ir paredzēts) un process paziņojuma nosūtīšanai, proti, nepieciešams modelēt faktisko iestādes rīcību (procesu) informācijas nosūtīšanai,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norādu, ka mērķgrupa, kurai pienākums sniegt informāciju ir Latvijas Investīciju un attīstības aģentūra, proti, viens subjekts.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vēl ir vērtējams noteikumu projekta 7.-9., 12., 17. punkts un 18.2.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veikto administratīvo izmaksu novērtējumu saskaņā ar Vadlīnijās tiesību akta sākotnējās ietekmes novērtēšanai un novērtējuma ziņojuma sagatavošanai vienotajā TAP portālā sniegtajām norādēm.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aprēķinu skaidrojošajā sadaļā ir jāietver atsauce uz tiesību akta projekta pantu/daļu/punktu/apakšpunktu, par ko aprēķins tiek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izņēmumu gadījumos, kad objektīvu iemeslu dēļ nav iegūstami aprēķinam nepieciešamie dati, aprakstošajā sadaļā ir jāiekļauj detalizēts skaidrojums par paredzamo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subjektu skaits ir mērķgrupa, proti, prognozes, cik uzņēmumi varētu pieteikties viena gada ietvaros (izmantojami dati no pieredzes, no statistikas u.c.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norādot laika patēriņu, tas ir norādāms par visu patērēto laiku kopumā izpildot informācijas sniegšanas prasību. Ja katram uzņēmumam iesniedzamo dokumentu apjoms ir dažāds, kā arī patērējamais laiks, lūdzu, noteikt vidējo laika patēriņu visiem uzņēmumiem, ņemot vērā dažādību un aprakstā iekļaut skaidrojumu, kā tika noteikts vidējais laika patēriņš.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Aprakstot aprēķinu ir norādāms, kur ir iegūta iekļautā informācija un, kuru informāciju iegūt nav iespējams u.c. skaidrojoša informācija par veikto aprēķinu.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vēl ir vērtējams noteikumu projekta 10., 19.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17.02.2025. 19.45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17.02.2025. 19.45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Atzinumi_24-TA-767.docx</dc:title>
</cp:coreProperties>
</file>

<file path=docProps/custom.xml><?xml version="1.0" encoding="utf-8"?>
<Properties xmlns="http://schemas.openxmlformats.org/officeDocument/2006/custom-properties" xmlns:vt="http://schemas.openxmlformats.org/officeDocument/2006/docPropsVTypes"/>
</file>