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252 "Zinātniskās darbības bāzes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noteikumu projekts "Grozījumi Ministru kabineta 2022.gada 19.aprīļa noteikumos Nr.252 "Zinātniskās darbības bāzes finansējuma piešķiršanas kārtība"" noteic bāzes finansējuma piešķiršanas kārtību valsts zinātniskajiem institūtiem, valsts augstskolām, valsts augstskolu zinātniskajiem institūtiem, tai skaitā valsts dibināto universitāšu zinātniskajiem institūtiem - atvasinātām publiskām personām, aicinām informāciju par zinātniskajiem institūtiem un augstskolām norādīt anotācijas 7.sadaļā, nevis 2.sadaļā.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01.07.2025.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01.07.2025.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Atzinumi_25-TA-1051.docx</dc:title>
</cp:coreProperties>
</file>

<file path=docProps/custom.xml><?xml version="1.0" encoding="utf-8"?>
<Properties xmlns="http://schemas.openxmlformats.org/officeDocument/2006/custom-properties" xmlns:vt="http://schemas.openxmlformats.org/officeDocument/2006/docPropsVTypes"/>
</file>