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apakšsadaļas "Risinājuma apraksts" pirmo punktu, ņemot vērā, ka šajā skaidrojumā ir sniegta maldinoša informācija, ka EDIC pirmās kārtas ietvaros nodrošina arī digitālo prasmju apmācību procesu, nekonkretizējot apmācību veidu. Vēršam uzmanību, ka spēkā esošie noteikumi nosaka, ka pirmās kārtas ietvaros var tikt sniegti tikai tiešsaistes apmācību kursi. Tāpat lūdzam precizēt, nenorādot, ka tie ir tehniski precizējumi, jo šie grozījumi būtiski maina līdzšinējo atbalsta sniegšanas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1.sadaļas 1.3.apakšsadaļu ar skaidrojumu, kādā veidā grozījumi ietekmēs noslēgtos līgumus, uzsāktos projektus, tostarp finansējuma saņēmēju un projekta izpildi, kā arī, vai grozījumi nav uzskatāmi par būtiskiem attiecībā uz projektu īstenošanu, t.i, ietekmē projektu, tā mērķi vai darbības u.tml., ņemot vērā, ka tiek paplašināts kursu pasniegšanas veids un izmaksu pozīcijas.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sasniegtu šo noteikumu </w:t>
            </w:r>
            <w:r w:rsidR="00000000" w:rsidRPr="00000000" w:rsidDel="00000000">
              <w:rPr>
                <w:rtl w:val="0"/>
              </w:rPr>
              <w:t xml:space="preserve">3.</w:t>
            </w:r>
            <w:r w:rsidR="00000000" w:rsidRPr="00000000" w:rsidDel="00000000">
              <w:rPr>
                <w:rtl w:val="0"/>
              </w:rPr>
              <w:t xml:space="preserve"> punktā</w:t>
            </w:r>
            <w:r w:rsidR="00000000" w:rsidRPr="00000000" w:rsidDel="00000000">
              <w:rPr>
                <w:rtl w:val="0"/>
              </w:rPr>
              <w:t xml:space="preserve"> minēto mērķi, investīcijas pirmajā kārtā gala labuma guvējiem tiek nodrošināti klātienes, hibrīda un tiešsaistes apmācību kursu formātā, lai nodrošinātu digitālo prasmju apmācības šo noteikumu </w:t>
            </w:r>
            <w:r w:rsidR="00000000" w:rsidRPr="00000000" w:rsidDel="00000000">
              <w:rPr>
                <w:rtl w:val="0"/>
              </w:rPr>
              <w:t xml:space="preserve">30.</w:t>
            </w:r>
            <w:r w:rsidR="00000000" w:rsidRPr="00000000" w:rsidDel="00000000">
              <w:rPr>
                <w:rtl w:val="0"/>
              </w:rPr>
              <w:t xml:space="preserve"> punktā</w:t>
            </w:r>
            <w:r w:rsidR="00000000" w:rsidRPr="00000000" w:rsidDel="00000000">
              <w:rPr>
                <w:rtl w:val="0"/>
              </w:rPr>
              <w:t xml:space="preserve"> minētajās jomās. Investīcijas otrajā kārtā tiek īstenotas gala labuma guvēju digitālo prasmju apmācības.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2.3.1.2.i investīcijas īstenošanas noteikumu izstrādes laikā Ekonomikas ministrija ir skaidrojusi, ka demarkācija starp pirmo un otro kārtu tiks nodrošināta ņemot vērā, ka pirmajā kārtā tiks sniegti tikai tiešsaistes kursi, bet otrajā kārtā - klātienes kursi. Ņemot vērā, ka noteikumu 30. un 40.punktā noteiktās apmācību jomas pārklājas, piemēram, programmēšana, kiberdrošības apmācības, tad līguma slēdzējam ir jābūt mehānismam, kā tas pārbauda un novērš dubulto finansējumu (gala labuma guvēja apliecinājums nevar kalpot kā pierādījums dubultfinansējuma neesamībai). Ja šāda mehānisma nav, tad tas ir jānodrošina jau plānošanas fāzē. Attiecīgi lūdzam pārskatīt plānoto atbalstu.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38.1.4. apmācību kursu izmaksas, kas ir tieši saistītas ar apmācību projektu, atbilst Komisijas regulas Nr.651/2014 31. panta 3. punktam: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teksta un anotācijas ir skaidrs, ka EDIC pats ir de minimis atbalsta saņēmējs, kā arī EDIC ir atbalsta sniedzējs gala labuma guvējam vai nu ar Komisijas regulu Nr.1407/2013, vai nu ar Komisijas regulu Nr.651/2014. Attiecīgi nav skaidrs, kas ir domāts ar 38.1.4.apakšpunktā noteikto: "</w:t>
            </w:r>
            <w:r w:rsidR="00000000" w:rsidRPr="00000000" w:rsidDel="00000000">
              <w:rPr>
                <w:i w:val="1"/>
                <w:rtl w:val="0"/>
              </w:rPr>
              <w:t xml:space="preserve">apmācību kursu izmaksas, kas ir tieši saistītas ar apmācību projektu, atbilst Komisijas regulas Nr.651/2014 31. panta 3. punktam"</w:t>
            </w:r>
            <w:r w:rsidR="00000000" w:rsidRPr="00000000" w:rsidDel="00000000">
              <w:rPr>
                <w:rtl w:val="0"/>
              </w:rPr>
              <w:t xml:space="preserve">, t.i., vai ir plānots, ka EDIC pats būs atbalsta saņēmējs saskaņā ar Komisijas regulu Nr.651/2014 31.panta mērķi? Ja šis ir tas gadījums, šis būtu skaidri jānosaka noteikumos, kā arī uz EDIC būtu jāattiecina visi atbilstošie Komisijas regulas Nr.651/2014 I sadaļas un 31.panta nosacījumi. Lūdzam attiecīgi precizēt normu un sniegt skaidrojumu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Finansējuma saņēmējam izmaksas attiecināmas no brīža, kad finansējuma saņēmējs iesniedzis projekta pieteikumu Kohēzijas sistēmā. Gala labuma guvējam izmaksas attiecināmas no brīža, kad gala labuma guvējs  iesniedzis iesniegumu finansējuma saņēmējam atbilstoši Komisijas regulas Nr. </w:t>
            </w:r>
            <w:r w:rsidR="00000000" w:rsidRPr="00000000" w:rsidDel="00000000">
              <w:rPr>
                <w:rtl w:val="0"/>
              </w:rPr>
              <w:t xml:space="preserve">651/2014</w:t>
            </w:r>
            <w:r w:rsidR="00000000" w:rsidRPr="00000000" w:rsidDel="00000000">
              <w:rPr>
                <w:rtl w:val="0"/>
              </w:rPr>
              <w:t xml:space="preserve"> 6. panta 2. punktam, izņemot aktivitātes, kas nav uzskatāmas par darbu sākumu atbilstoši Komisijas regulas Nr. </w:t>
            </w:r>
            <w:r w:rsidR="00000000" w:rsidRPr="00000000" w:rsidDel="00000000">
              <w:rPr>
                <w:rtl w:val="0"/>
              </w:rPr>
              <w:t xml:space="preserve">651/2014</w:t>
            </w:r>
            <w:r w:rsidR="00000000" w:rsidRPr="00000000" w:rsidDel="00000000">
              <w:rPr>
                <w:rtl w:val="0"/>
              </w:rPr>
              <w:t xml:space="preserve"> 2. panta 23. punktā minētajai definīcijai. Ja uz pieteikuma iesniegšanas brīdi tiek konstatēts Komisijas regulas Nr. </w:t>
            </w:r>
            <w:r w:rsidR="00000000" w:rsidRPr="00000000" w:rsidDel="00000000">
              <w:rPr>
                <w:rtl w:val="0"/>
              </w:rPr>
              <w:t xml:space="preserve">651/2014</w:t>
            </w:r>
            <w:r w:rsidR="00000000" w:rsidRPr="00000000" w:rsidDel="00000000">
              <w:rPr>
                <w:rtl w:val="0"/>
              </w:rPr>
              <w:t xml:space="preserve"> 6. panta 2. punkta pārkāpums, gala labuma guvēja projekta ietvaros radušās izmaksas ir neattiecināmas un tās jāsedz no privātajiem līdzekļiem. Ja gala labuma guvējam atbalsts tiek piešķirts no Komisijas regulu Nr. 1407/2013, tad izmaksas tiek attiecināmas no brīža, kad gala labuma guvējs  iesniedzis iesniegumu finansējuma saņēmējam, ievērojot atbilstoši Komisijas regulas Nr. 651/2014 6. panta 2.punkta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 Nr.1407/2013 neparedz stimulējošās ietekmes prasību, lūdzam papildināt anotācijas V sadaļu ar šī punkta izvērtējumu pret Komisijas regulu Nr.1407/2013, ka konkrētajā punktā tiek ietvertas stingrākas prasības. Vienlaikus, ja ir plānots paredzēt, ka arī de minimis atbalsta gadījumā izmaksas tiek attiecinātas no brīža, kad gala labuma guvējs  iesniedzis iesniegumu finansējuma saņēmējam, lūdzam to nesasaistīt ar Komisijas regulas Nr. 651/2014 6. panta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Atbalsts šo noteikumu </w:t>
            </w:r>
            <w:r w:rsidR="00000000" w:rsidRPr="00000000" w:rsidDel="00000000">
              <w:rPr>
                <w:rtl w:val="0"/>
              </w:rPr>
              <w:t xml:space="preserve">44.1.1.</w:t>
            </w:r>
            <w:r w:rsidR="00000000" w:rsidRPr="00000000" w:rsidDel="00000000">
              <w:rPr>
                <w:rtl w:val="0"/>
              </w:rPr>
              <w:t xml:space="preserve"> apakšpunktā</w:t>
            </w:r>
            <w:r w:rsidR="00000000" w:rsidRPr="00000000" w:rsidDel="00000000">
              <w:rPr>
                <w:rtl w:val="0"/>
              </w:rPr>
              <w:t xml:space="preserve"> minēto izmaksu segšanai nav uzskatāms par komercdarbības atbalstu, ja finansējuma saņēmējs nodrošina projekta vadību, piemērojot šo noteikumu </w:t>
            </w:r>
            <w:r w:rsidR="00000000" w:rsidRPr="00000000" w:rsidDel="00000000">
              <w:rPr>
                <w:rtl w:val="0"/>
              </w:rPr>
              <w:t xml:space="preserve">67.</w:t>
            </w:r>
            <w:r w:rsidR="00000000" w:rsidRPr="00000000" w:rsidDel="00000000">
              <w:rPr>
                <w:rtl w:val="0"/>
              </w:rPr>
              <w:t xml:space="preserve"> punktā</w:t>
            </w:r>
            <w:r w:rsidR="00000000" w:rsidRPr="00000000" w:rsidDel="00000000">
              <w:rPr>
                <w:rtl w:val="0"/>
              </w:rPr>
              <w:t xml:space="preserve"> minēto procedūru. Ja finansējuma saņēmējs nodrošina projekta vadību, tad šo noteikumu </w:t>
            </w:r>
            <w:r w:rsidR="00000000" w:rsidRPr="00000000" w:rsidDel="00000000">
              <w:rPr>
                <w:rtl w:val="0"/>
              </w:rPr>
              <w:t xml:space="preserve">53.</w:t>
            </w:r>
            <w:r w:rsidR="00000000" w:rsidRPr="00000000" w:rsidDel="00000000">
              <w:rPr>
                <w:rtl w:val="0"/>
              </w:rPr>
              <w:t xml:space="preserve"> punktā</w:t>
            </w:r>
            <w:r w:rsidR="00000000" w:rsidRPr="00000000" w:rsidDel="00000000">
              <w:rPr>
                <w:rtl w:val="0"/>
              </w:rPr>
              <w:t xml:space="preserve"> minēto izmaksu segšana ir uzskatāma par komercdarbības atbalstu finansējuma saņēmējam, ko sniedz atbilstoši šo noteikumu </w:t>
            </w:r>
            <w:r w:rsidR="00000000" w:rsidRPr="00000000" w:rsidDel="00000000">
              <w:rPr>
                <w:rtl w:val="0"/>
              </w:rPr>
              <w:t xml:space="preserve">78.</w:t>
            </w:r>
            <w:r w:rsidR="00000000" w:rsidRPr="00000000" w:rsidDel="00000000">
              <w:rPr>
                <w:rtl w:val="0"/>
              </w:rPr>
              <w:t xml:space="preserve"> 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 84.punkta redakcija, tā praktiskais pielietojums, kā arī izmantotās atsauces uz MKN punktiem nešķiet korektas, jo CFLA ieskatā šajā punktā ir sajaukts regulējums attiecībā uz apmācību kursu izmaksām un FS projekta vadības izmaksām. Papildus konstatēts, ka nav saprotams, kādā veidā 2.kārtas ietvaros tiks attiecinātas finansējuma saņēmēja projekta vadības izmaksas, ja projekta vadība tiks nodrošināta kā ārpakalpojums (saskaņā ar MKN 53.panta 2.apakšpunktu), t.sk., vai projekta vadības izmaksas, kas radīsies ārpakalpojuma veidā, tiks uzskatītas kā komercdarbības atbalsts saskaņā ar 78.punktu vai nē. Ņemot vērā iepriekš minēto, lūdzam veikt atbilstošas korekcijas 84.punkta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4. punktā ir norādīta nekorekta atsauce uz noteikumu projekta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 "Grozījumi MK Noteikumu Nr.529 29.1 apakšpunktā paredz" uz "Grozījumi MK Noteikumu Nr.529 34.</w:t>
            </w:r>
            <w:r w:rsidR="00000000" w:rsidRPr="00000000" w:rsidDel="00000000">
              <w:rPr>
                <w:vertAlign w:val="superscript"/>
                <w:rtl w:val="0"/>
              </w:rPr>
              <w:t xml:space="preserve">1</w:t>
            </w:r>
            <w:r w:rsidR="00000000" w:rsidRPr="00000000" w:rsidDel="00000000">
              <w:rPr>
                <w:rtl w:val="0"/>
              </w:rPr>
              <w:t xml:space="preserve"> punktā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1.3.apakšsadaļu ar skaidrojumu par grozījumiem Ministru kabineta 2023. gada 12. septembra noteikumu Nr. 529 "Eiropas Savienības Atveseļošanas un noturības mehānisma plāna 2. komponentes "Digitālā transformācija" 2.3. reformu un investīciju virziena "Digitālās prasmes" 2.3.1.2.i. investīcijas "Uzņēmumu digitālo prasmju attīstība" īstenošanas noteikumi" 9.1.1. un 9.1.2.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iekļaut skaidrojumu, ka grozījumi mērķrādītājos ir ietverti Atveseļošanas fonda plāna grozījumu priekšlikumos, kas 2023.gada 26.septembrī ir iesniegti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2</w:t>
            </w:r>
            <w:r w:rsidR="00000000" w:rsidRPr="00000000" w:rsidDel="00000000">
              <w:rPr>
                <w:rtl w:val="0"/>
              </w:rPr>
              <w:t xml:space="preserve"> hibrīdformāta apmācību kursi – apmācību pieeja, kas apvieno gan tradicionālās klātienes nodarbības, gan digitālās tehnoloģijas un attālinātās mācīšanās komponentes. Šis pieejas veids ļauj komersantu nodarbinātajiem apgūt zināšanas un prasmes, izmantojot dažādus apmācību veidus un resursus.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2.8.2 (prim) punkta otro teikumu pārcelt uz anotācijas 1.3.sadaļu. Vēršam uzmanību, ka šis teikums paskaidro minētā punkta pirmo teikumu, līdz ar to ši informācija ir iekļaujama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vārdu "attālinātās" aizstāt ar vārdu "tiešsaistes".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38.1.4.2. kopējā pasniedzēju darba samaksa par darba stundām, kas nepārsniedz apmācību kursu ilgumu (tai skaitā darba devēja valsts sociālās apdrošināšanas obligātās iemaksas);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38.1.4.2.apakšpunktu, ņemot vērā, ka tas pārklājas ar 38.1.4.1.apakšpunktu.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attiecībā uz gala labuma guvēju: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38.2.6. un 38.2.7. apakšpunktos norādītās izmaksas (sertifikācijas un eksaminācijas, tulkošanas pakalpojumu izmaksas), ņemot vērā to, ka tās jau ir ietvertas noteikumu 38.2.1. un 38.2.3.apakšpunktos.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47.2. apmācības pirmās un otrās kārtas ietvaros apmācības var nodrošināt gan klātienē, gan attālināti, tai skaitā izmantojot hibrīdmodeli.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veiktos precizējumus 47.2.apakšpunktā, šai normai vairs nav regulējuma funkcijas, jo pirmās un otrās kārtas ietvaros varēs sniegt vienāda formāta apmācības. Lūdzam izvērtēt iespēju svītrot 47.2.apakšpunktu.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Finansējumu šo noteikumu </w:t>
            </w:r>
            <w:r w:rsidR="00000000" w:rsidRPr="00000000" w:rsidDel="00000000">
              <w:rPr>
                <w:rtl w:val="0"/>
              </w:rPr>
              <w:t xml:space="preserve">53.</w:t>
            </w:r>
            <w:r w:rsidR="00000000" w:rsidRPr="00000000" w:rsidDel="00000000">
              <w:rPr>
                <w:rtl w:val="0"/>
              </w:rPr>
              <w:t xml:space="preserve"> punktā</w:t>
            </w:r>
            <w:r w:rsidR="00000000" w:rsidRPr="00000000" w:rsidDel="00000000">
              <w:rPr>
                <w:rtl w:val="0"/>
              </w:rPr>
              <w:t xml:space="preserve"> minēto izmaksu segšanai sniedz saskaņā ar Komisijas regulu Nr. </w:t>
            </w:r>
            <w:r w:rsidR="00000000" w:rsidRPr="00000000" w:rsidDel="00000000">
              <w:rPr>
                <w:rtl w:val="0"/>
              </w:rPr>
              <w:t xml:space="preserve">1407/2013</w:t>
            </w:r>
            <w:r w:rsidR="00000000" w:rsidRPr="00000000" w:rsidDel="00000000">
              <w:rPr>
                <w:rtl w:val="0"/>
              </w:rPr>
              <w:t xml:space="preserve">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tas ir uzskatāms par komercdarbības atbalstu finansējuma saņēmējam. Aģentūra un ministrija atbilstoši šo noteikumu </w:t>
            </w:r>
            <w:r w:rsidR="00000000" w:rsidRPr="00000000" w:rsidDel="00000000">
              <w:rPr>
                <w:rtl w:val="0"/>
              </w:rPr>
              <w:t xml:space="preserve">78.</w:t>
            </w:r>
            <w:r w:rsidR="00000000" w:rsidRPr="00000000" w:rsidDel="00000000">
              <w:rPr>
                <w:rtl w:val="0"/>
              </w:rPr>
              <w:t xml:space="preserve"> punktam</w:t>
            </w:r>
            <w:r w:rsidR="00000000" w:rsidRPr="00000000" w:rsidDel="00000000">
              <w:rPr>
                <w:rtl w:val="0"/>
              </w:rPr>
              <w:t xml:space="preserve"> vērtē finansējuma saņēmēja atbilstību </w:t>
            </w:r>
            <w:r w:rsidR="00000000" w:rsidRPr="00000000" w:rsidDel="00000000">
              <w:rPr>
                <w:i w:val="1"/>
                <w:rtl w:val="0"/>
              </w:rPr>
              <w:t xml:space="preserve">de minimis</w:t>
            </w:r>
            <w:r w:rsidR="00000000" w:rsidRPr="00000000" w:rsidDel="00000000">
              <w:rPr>
                <w:rtl w:val="0"/>
              </w:rPr>
              <w:t xml:space="preserve"> atbalsta nosacījumiem uz komercdarbības atbalsta piešķiršanas brīdi. Par komercdarbības atbalsta piešķiršanas dienu uzskatāma diena, kad aģentūra  un ministrija pieņēmusi lēmumu par komercdarbības atbalsta piešķiršanu finansējuma saņēmējam. Pirmās kārtas ietvaros Eiropas digitālās inovācijas centrs veic darbību kā inovāciju kopa atbilstoši Komisijas regulas Nr. </w:t>
            </w:r>
            <w:r w:rsidR="00000000" w:rsidRPr="00000000" w:rsidDel="00000000">
              <w:rPr>
                <w:rtl w:val="0"/>
              </w:rPr>
              <w:t xml:space="preserve">651/2014</w:t>
            </w:r>
            <w:r w:rsidR="00000000" w:rsidRPr="00000000" w:rsidDel="00000000">
              <w:rPr>
                <w:rtl w:val="0"/>
              </w:rPr>
              <w:t xml:space="preserve"> 2. panta 92. apakšpunkta definīcijai, un </w:t>
            </w:r>
            <w:r w:rsidR="00000000" w:rsidRPr="00000000" w:rsidDel="00000000">
              <w:rPr>
                <w:i w:val="1"/>
                <w:rtl w:val="0"/>
              </w:rPr>
              <w:t xml:space="preserve">de minimis</w:t>
            </w:r>
            <w:r w:rsidR="00000000" w:rsidRPr="00000000" w:rsidDel="00000000">
              <w:rPr>
                <w:rtl w:val="0"/>
              </w:rPr>
              <w:t xml:space="preserve"> atbalsts tiek uzskaitīts katram Eiropas digitālās inovācijas centra dalībniekam atsevišķi.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MK noteikumu 84.punktā izteikto iebildumu.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Ja finansējuma saņēmējs ir </w:t>
            </w:r>
            <w:r w:rsidR="00000000" w:rsidRPr="00000000" w:rsidDel="00000000">
              <w:rPr>
                <w:i w:val="1"/>
                <w:rtl w:val="0"/>
              </w:rPr>
              <w:t xml:space="preserve">de minimis</w:t>
            </w:r>
            <w:r w:rsidR="00000000" w:rsidRPr="00000000" w:rsidDel="00000000">
              <w:rPr>
                <w:rtl w:val="0"/>
              </w:rPr>
              <w:t xml:space="preserve"> atbalsta saņēmējs un tiek pārkāptas Komisijas regulas Nr. </w:t>
            </w:r>
            <w:r w:rsidR="00000000" w:rsidRPr="00000000" w:rsidDel="00000000">
              <w:rPr>
                <w:rtl w:val="0"/>
              </w:rPr>
              <w:t xml:space="preserve">1407/2013</w:t>
            </w:r>
            <w:r w:rsidR="00000000" w:rsidRPr="00000000" w:rsidDel="00000000">
              <w:rPr>
                <w:rtl w:val="0"/>
              </w:rPr>
              <w:t xml:space="preserve"> prasības, finansējuma saņēmējam ir pienākums atmaksāt aģentūrai visu projekta ietvaros saņemto </w:t>
            </w:r>
            <w:r w:rsidR="00000000" w:rsidRPr="00000000" w:rsidDel="00000000">
              <w:rPr>
                <w:i w:val="1"/>
                <w:rtl w:val="0"/>
              </w:rPr>
              <w:t xml:space="preserve">de minimis </w:t>
            </w:r>
            <w:r w:rsidR="00000000" w:rsidRPr="00000000" w:rsidDel="00000000">
              <w:rPr>
                <w:rtl w:val="0"/>
              </w:rPr>
              <w:t xml:space="preserve">atbalstu kopā ar procentiem no līdzekļiem, kas ir brīvi no komercdarbības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Eiropas Savienības tiesu judikatūrai atbilstošu pienākumu atgūt nelikumīgo komercdarbības atbalstu, lūdzam  noteikumu 90.punktu izteikt, piemēram, šādā redakcijā: “Ja finansējuma saņēmējs ir de minimis atbalsta saņēmējs un tiek pārkāptas Komisijas regulas Nr. 1407/2013 prasības, finansējuma saņēmējam ir pienākums atmaksāt aģentūrai visu projekta ietvaros saņemto </w:t>
            </w:r>
            <w:r w:rsidR="00000000" w:rsidRPr="00000000" w:rsidDel="00000000">
              <w:rPr>
                <w:u w:val="single"/>
                <w:rtl w:val="0"/>
              </w:rPr>
              <w:t xml:space="preserve">nelikumīgo</w:t>
            </w:r>
            <w:r w:rsidR="00000000" w:rsidRPr="00000000" w:rsidDel="00000000">
              <w:rPr>
                <w:rtl w:val="0"/>
              </w:rPr>
              <w:t xml:space="preserve"> de minimis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Ja gala labuma guvējs ir pārkāpis Komisijas regulas Nr. </w:t>
            </w:r>
            <w:r w:rsidR="00000000" w:rsidRPr="00000000" w:rsidDel="00000000">
              <w:rPr>
                <w:rtl w:val="0"/>
              </w:rPr>
              <w:t xml:space="preserve">1407/2013</w:t>
            </w:r>
            <w:r w:rsidR="00000000" w:rsidRPr="00000000" w:rsidDel="00000000">
              <w:rPr>
                <w:rtl w:val="0"/>
              </w:rPr>
              <w:t xml:space="preserve"> prasības, finansējuma saņēmējs uzliek par pienākumu gala labuma guvējam atmaksāt finansējuma saņēmējam projekta ietvaros saņemto nelikumīgo valsts atbalstu. Finansējuma saņēmējam ir pienākums atmaksāt aģentūrai visu projekta ietvaros saņemto </w:t>
            </w:r>
            <w:r w:rsidR="00000000" w:rsidRPr="00000000" w:rsidDel="00000000">
              <w:rPr>
                <w:i w:val="1"/>
                <w:rtl w:val="0"/>
              </w:rPr>
              <w:t xml:space="preserve">de minimis</w:t>
            </w:r>
            <w:r w:rsidR="00000000" w:rsidRPr="00000000" w:rsidDel="00000000">
              <w:rPr>
                <w:rtl w:val="0"/>
              </w:rPr>
              <w:t xml:space="preserve"> atbalstu. Atbalstu atmaksā kopā ar procentiem, kurus aprēķina no dienas, kad valsts atbalsts tika izmaksāts gala labuma guvējam, līdz tā atgūšanas dienai,  no līdzekļiem, kas ir brīvi no valsts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Eiropas Savienības tiesu judikatūrai atbilstošu pienākumu atgūt nelikumīgo komercdarbības atbalstu, lūdzam  noteikumu 92.punktu izteikt, piemēram, šādā redakcijā: “</w:t>
            </w:r>
            <w:r w:rsidR="00000000" w:rsidRPr="00000000" w:rsidDel="00000000">
              <w:rPr>
                <w:i w:val="1"/>
                <w:rtl w:val="0"/>
              </w:rPr>
              <w:t xml:space="preserve">Ja gala labuma guvējs ir pārkāpis Komisijas regulas Nr. 1407/2013 prasības, finansējuma saņēmējs uzliek par pienākumu gala labuma guvējam atmaksāt finansējuma saņēmējam projekta ietvaros saņemto nelikumīgo valsts atbalstu. Finansējuma saņēmējam ir pienākums atmaksāt aģentūrai visu projekta ietvaros saņemto </w:t>
            </w:r>
            <w:r w:rsidR="00000000" w:rsidRPr="00000000" w:rsidDel="00000000">
              <w:rPr>
                <w:i w:val="1"/>
                <w:u w:val="single"/>
                <w:rtl w:val="0"/>
              </w:rPr>
              <w:t xml:space="preserve">nelikumīgo</w:t>
            </w:r>
            <w:r w:rsidR="00000000" w:rsidRPr="00000000" w:rsidDel="00000000">
              <w:rPr>
                <w:i w:val="1"/>
                <w:rtl w:val="0"/>
              </w:rPr>
              <w:t xml:space="preserve"> de minimis atbalstu. Atbalstu atmaksā kopā ar procentiem, kurus aprēķina no dienas, kad valsts atbalsts tika izmaksāts gala labuma guvējam, līdz tā atgūšanas dienai,  no līdzekļiem, kas ir brīvi no valsts atbalsta, atbilstoši Komercdarbības atbalsta kontroles likuma IV vai V nodaļas nosacījumiem.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23-TA-2364</w:t>
    </w:r>
    <w:r>
      <w:br/>
    </w:r>
    <w:r w:rsidR="00000000" w:rsidRPr="00000000" w:rsidDel="00000000">
      <w:rPr>
        <w:rtl w:val="0"/>
      </w:rPr>
      <w:t xml:space="preserve">Izdrukāts 19.10.2023.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23-TA-2364</w:t>
    </w:r>
    <w:r>
      <w:br/>
    </w:r>
    <w:r w:rsidR="00000000" w:rsidRPr="00000000" w:rsidDel="00000000">
      <w:rPr>
        <w:rtl w:val="0"/>
      </w:rPr>
      <w:t xml:space="preserve">Izdrukāts 19.10.2023.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Atzinumi_23-TA-2364.docx</dc:title>
</cp:coreProperties>
</file>

<file path=docProps/custom.xml><?xml version="1.0" encoding="utf-8"?>
<Properties xmlns="http://schemas.openxmlformats.org/officeDocument/2006/custom-properties" xmlns:vt="http://schemas.openxmlformats.org/officeDocument/2006/docPropsVTypes"/>
</file>