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7. janvāra noteikumos Nr. 20 "Eiropas Savienības kohēzijas politikas programmas 2021.–2027. gadam 2.1.1. specifiskā atbalsta mērķa "Energoefektivitātes veicināšana un siltumnīcefekta gāzu emisiju samazināšana" 2.1.1.3. pasākuma "AER izmantošana un energoefektivitātes paaugstināšana centralizētajā siltumapgādē un aukstumapgādē"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anotācijas 1.3. apakšsadaļā nodrošināt pilnīgus projekta skaidrojumus, piemēram, projekts papildināts ar jaunu 1.22. apakšpunktu, kas netiek skaidrots anotācijā. Tāpat Ministru kabineta 2025. gada 7. janvāra noteikumu Nr. 20 "Eiropas Savienības kohēzijas politikas programmas 2021.–2027. gadam 2.1.1. specifiskā atbalsta mērķa "Energoefektivitātes veicināšana un siltumnīcefekta gāzu emisiju samazināšana" 2.1.1.3. pasākuma "AER izmantošana un energoefektivitātes paaugstināšana centralizētajā siltumapgādē un aukstumapgādē" otrās kārtas īstenošanas noteikumi" (turpmāk - Noteikumi) 42. punktā paredzot, ka "</w:t>
            </w:r>
            <w:r w:rsidR="00000000" w:rsidRPr="00000000" w:rsidDel="00000000">
              <w:rPr>
                <w:i w:val="1"/>
                <w:rtl w:val="0"/>
              </w:rPr>
              <w:t xml:space="preserve">Lēmumu par atbalsta pieteikuma nenoraidīšanu sabiedrība "Altum" var pieņemt, ja uz lēmuma pieņemšanas brīdi iestājušies apstākļi, kas nav atkarīgi no komersanta un var pārsniegt divpadsmit mēnešus nepieciešamās dokumentācijas iesniegšanai</w:t>
            </w:r>
            <w:r w:rsidR="00000000" w:rsidRPr="00000000" w:rsidDel="00000000">
              <w:rPr>
                <w:rtl w:val="0"/>
              </w:rPr>
              <w:t xml:space="preserve">", iesakām izvērst tā izpratni, piemēram, norādīt, vai un kā šādi apstākļi jāpierāda. Proti, minētā nosacījuma pilnīga izpratne tiesību normas adresātiem ir svarīga, lai varētu korekti īstenot no tā izrietošās tiesības. Tāpat, neprecīzi norādīts "</w:t>
            </w:r>
            <w:r w:rsidR="00000000" w:rsidRPr="00000000" w:rsidDel="00000000">
              <w:rPr>
                <w:i w:val="1"/>
                <w:rtl w:val="0"/>
              </w:rPr>
              <w:t xml:space="preserve">nav stājusies spēkā MK noteikumu Nr. 20 </w:t>
            </w:r>
            <w:r w:rsidR="00000000" w:rsidRPr="00000000" w:rsidDel="00000000">
              <w:rPr>
                <w:i w:val="1"/>
                <w:u w:val="single"/>
                <w:rtl w:val="0"/>
              </w:rPr>
              <w:t xml:space="preserve">71.2.2. apakšpunktā noteiktā metodika</w:t>
            </w:r>
            <w:r w:rsidR="00000000" w:rsidRPr="00000000" w:rsidDel="00000000">
              <w:rPr>
                <w:rtl w:val="0"/>
              </w:rPr>
              <w:t xml:space="preserve">", no Noteikumu 46.</w:t>
            </w:r>
            <w:r w:rsidR="00000000" w:rsidRPr="00000000" w:rsidDel="00000000">
              <w:rPr>
                <w:vertAlign w:val="superscript"/>
                <w:rtl w:val="0"/>
              </w:rPr>
              <w:t xml:space="preserve">1</w:t>
            </w:r>
            <w:r w:rsidR="00000000" w:rsidRPr="00000000" w:rsidDel="00000000">
              <w:rPr>
                <w:rtl w:val="0"/>
              </w:rPr>
              <w:t xml:space="preserve"> punkta saprotams, ka domāts to 79.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izvērtēt un precizēt noteikumu projekta anotācijas 5.4. sadaļas 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piemēram, atbilstoši projekta redakcijai, tā 1.15.apakšpunkts ievieš Komisijas 2023. gada 13. decembra Regulu (ES) 2023/2831 par Līguma par Eiropas Savienības darbību 107. un 108. panta piemērošanu de minimis atbalstam (turpmāk – regula Nr. 2023/2831), 1.17. un 1.18. apakšpunkts -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58. panta 2. punktu, taču 1.49. apakšpunkts, ne tikai Komisijas 2014. gada 17. jūnija Regulas (ES) Nr. 651/2014, ar ko noteiktas atbalsta kategorijas atzīst par saderīgām ar iekšējo tirgu, piemērojot Līguma 107. un 108. pantu (turpmāk - Regula 651/2014) 46. panta 7. un 8. punktu, bet arī, piemēram, 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atbilstoši anotācijas 1.3. apakšsadaļas skaidrojumiem, piemēram, projekta 1.32. apakšpunkts izpilda no regulas 2021/1060 65. panta 3. punkta un 81. panta izrietošās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 saražotās elektroenerģijas akumulēšanas vai uzglabāšanas iekārtu iegāde un uzstādīšana, ja enerģijas akumulēšanas vai uzglabāšanas iekārtas kombinē ar atjaunīgās elektroenerģijas ražošanas iekārtu iegādi un uzstādīšanu vai ja akumulēšanas vai uzglabāšanas iekārtas savieno jau ar esošo atjaunīgās enerģijas ražošanas iekārtu. Akumulēšanas aprīkojumam vismaz 75 % no gada laikā akumulētās enerģijas jāakumulē no tieši pieslēgtās atjaunīgās enerģijas ražošanas iekārtas;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panta otro daļu „r</w:t>
            </w:r>
            <w:r w:rsidR="00000000" w:rsidRPr="00000000" w:rsidDel="00000000">
              <w:rPr>
                <w:i w:val="1"/>
                <w:rtl w:val="0"/>
              </w:rPr>
              <w:t xml:space="preserve">egulas ir vispārpiemērojamas. Tās uzliek saistības kopumā un ir tieši piemērojamas visās dalībvalstīs.</w:t>
            </w:r>
            <w:r w:rsidR="00000000" w:rsidRPr="00000000" w:rsidDel="00000000">
              <w:rPr>
                <w:rtl w:val="0"/>
              </w:rPr>
              <w:t xml:space="preserve">”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Tomēr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minēto, piemēram, Noteikumu 27.5. apakšpunktā, kur tiek pārrakstīts no Regulas 651/2014 izrietošais nosacījums: "</w:t>
            </w:r>
            <w:r w:rsidR="00000000" w:rsidRPr="00000000" w:rsidDel="00000000">
              <w:rPr>
                <w:i w:val="1"/>
                <w:rtl w:val="0"/>
              </w:rPr>
              <w:t xml:space="preserve">Akumulēšanas aprīkojums katru gadu akumulē vismaz 75 % enerģijas no tieši pieslēgtas atjaunīgās enerģijas ražošanas iekārtas</w:t>
            </w:r>
            <w:r w:rsidR="00000000" w:rsidRPr="00000000" w:rsidDel="00000000">
              <w:rPr>
                <w:rtl w:val="0"/>
              </w:rPr>
              <w:t xml:space="preserve">;". Tāpat lūdzam izvērtēt konkrētā nosacījuma atbilstību kopumā, ņemot vērā no izziņas izrietošos skaidrojumus par Regulas 651/2014 41. panta neattiecināšanu uz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nepieciešams pārrakstīt Regulas normas, lūdzam tās pārrakstīt identiski un papildus skaidrot nepieciešamību veikt Regulas teksta daļu inkorporēšanu nacionālajos tiesību aktos. Vēršam uzmanību, ka, ja Regulas normas netiek precīzi pārrakstītas, pastāv atšķirīgas interpretācijas risks, kas nav pieļaujams.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Ja komersants projekta attiecināmo izmaksu segšanai plāno saņemt cita finansētāja aizdevumu, tad papildus šo noteikumu </w:t>
            </w:r>
            <w:r w:rsidR="00000000" w:rsidRPr="00000000" w:rsidDel="00000000">
              <w:rPr>
                <w:rtl w:val="0"/>
              </w:rPr>
              <w:t xml:space="preserve">39.</w:t>
            </w:r>
            <w:r w:rsidR="00000000" w:rsidRPr="00000000" w:rsidDel="00000000">
              <w:rPr>
                <w:rtl w:val="0"/>
              </w:rPr>
              <w:t xml:space="preserve"> punktā</w:t>
            </w:r>
            <w:r w:rsidR="00000000" w:rsidRPr="00000000" w:rsidDel="00000000">
              <w:rPr>
                <w:rtl w:val="0"/>
              </w:rPr>
              <w:t xml:space="preserve"> minēto dokumentu iesniegšanai sabiedrībā "Altum" komersants piesakās aizdevumam pie cita finansētāja. Cits finansētājs pieņem lēmumu par projekta attiecināmo izmaksu finansēšanu un iesniedz sabiedrībā "Altum" garantijas pieteikumu.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1.37. un 1.42 apakšpunktu, jo Noteikumu 46. un 55. punkta redakcijā, salīdzinājumā ar spēkā esošo, nav konstatējamas izmaiņas.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Ja atbalsts tiek sniegts saskaņā ar regulas Nr. </w:t>
            </w:r>
            <w:r w:rsidR="00000000" w:rsidRPr="00000000" w:rsidDel="00000000">
              <w:rPr>
                <w:rtl w:val="0"/>
              </w:rPr>
              <w:t xml:space="preserve">651/2014</w:t>
            </w:r>
            <w:r w:rsidR="00000000" w:rsidRPr="00000000" w:rsidDel="00000000">
              <w:rPr>
                <w:rtl w:val="0"/>
              </w:rPr>
              <w:t xml:space="preserve"> 46. panta 2. un 3. punktu šo noteikumu </w:t>
            </w:r>
            <w:r w:rsidR="00000000" w:rsidRPr="00000000" w:rsidDel="00000000">
              <w:rPr>
                <w:rtl w:val="0"/>
              </w:rPr>
              <w:t xml:space="preserve">​</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minētajām darbībām, ievērojot regulas Nr. 651/2014 46. panta 6. punktā noteikto, kopējā atbalsta intensitāte, saskaņā ar regulas Nr. 651/2014 7. un 8. punktu,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68. punktā ietvert precīzas atsauces uz Eiropas Savienības tiesību normām. Proti, atsaucē "</w:t>
            </w:r>
            <w:r w:rsidR="00000000" w:rsidRPr="00000000" w:rsidDel="00000000">
              <w:rPr>
                <w:i w:val="1"/>
                <w:rtl w:val="0"/>
              </w:rPr>
              <w:t xml:space="preserve">saskaņā ar regulas Nr. 651/2014 </w:t>
            </w:r>
            <w:r w:rsidR="00000000" w:rsidRPr="00000000" w:rsidDel="00000000">
              <w:rPr>
                <w:i w:val="1"/>
                <w:u w:val="single"/>
                <w:rtl w:val="0"/>
              </w:rPr>
              <w:t xml:space="preserve">7. un 8. punktu</w:t>
            </w:r>
            <w:r w:rsidR="00000000" w:rsidRPr="00000000" w:rsidDel="00000000">
              <w:rPr>
                <w:rtl w:val="0"/>
              </w:rPr>
              <w:t xml:space="preserve">" trūkst norādes uz konkrētu regulas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25-TA-1375</w:t>
    </w:r>
    <w:r>
      <w:br/>
    </w:r>
    <w:r w:rsidR="00000000" w:rsidRPr="00000000" w:rsidDel="00000000">
      <w:rPr>
        <w:rtl w:val="0"/>
      </w:rPr>
      <w:t xml:space="preserve">Izdrukāts 13.10.2025. 08.37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25-TA-1375</w:t>
    </w:r>
    <w:r>
      <w:br/>
    </w:r>
    <w:r w:rsidR="00000000" w:rsidRPr="00000000" w:rsidDel="00000000">
      <w:rPr>
        <w:rtl w:val="0"/>
      </w:rPr>
      <w:t xml:space="preserve">Izdrukāts 13.10.2025. 08.37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Atzinumi_25-TA-1375.docx</dc:title>
</cp:coreProperties>
</file>

<file path=docProps/custom.xml><?xml version="1.0" encoding="utf-8"?>
<Properties xmlns="http://schemas.openxmlformats.org/officeDocument/2006/custom-properties" xmlns:vt="http://schemas.openxmlformats.org/officeDocument/2006/docPropsVTypes"/>
</file>