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tvērumu šo noteikumu 2.1.2. un 2.1.3. apakšpunktā noteikto prasību izpildei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projekta neizriet pamatojums diferencēt projekta 2.1.2. un 2.1.3. apakšpunkta piemērošanu. Tāpat šāds pamatojums neizriet no Valsts informācijas sistēmu likuma. Ievērojot minēto, lūdzam svītrot vai atbilstoši precizēt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informācijas sistēmu likuma 4. panta otrā daļa neparedz pilnvarojumu Ministru kabinetam noteikt kārtību, kādā tiek uzraudzīta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vispārējo tehnisko prasību ievērošana. Tāpat Valsts informācijas sistēmu likuma 4. panta otrā daļa neparedz pilnvarojumu Ministru kabinetam noteikt kārtību, kādā tiek saskaņotas pamatotas novirzes no valsts informācijas sistēmām un institūciju informācijas sistēmām izvirzītajām vispārējām tehniskām prasībām, kā arī kārtību, kādā tiek saskaņoti pamatoti minēto prasību izpildes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13.04.2023.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13.04.2023.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