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3DC" w:rsidRDefault="00E843DC" w:rsidP="00E843DC">
      <w:pPr>
        <w:rPr>
          <w:rFonts w:ascii="Calibri" w:eastAsia="Times New Roman" w:hAnsi="Calibri"/>
          <w:sz w:val="22"/>
          <w:szCs w:val="22"/>
          <w:lang w:val="en-US"/>
        </w:rPr>
      </w:pPr>
      <w:bookmarkStart w:id="0" w:name="_MailOriginal"/>
      <w:r>
        <w:rPr>
          <w:rFonts w:ascii="Calibri" w:eastAsia="Times New Roman" w:hAnsi="Calibri"/>
          <w:b/>
          <w:bCs/>
          <w:sz w:val="22"/>
          <w:szCs w:val="22"/>
          <w:lang w:val="en-US"/>
        </w:rPr>
        <w:t>From:</w:t>
      </w:r>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Inguna</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Dancīte</w:t>
      </w:r>
      <w:proofErr w:type="spellEnd"/>
      <w:r>
        <w:rPr>
          <w:rFonts w:ascii="Calibri" w:eastAsia="Times New Roman" w:hAnsi="Calibri"/>
          <w:sz w:val="22"/>
          <w:szCs w:val="22"/>
          <w:lang w:val="en-US"/>
        </w:rPr>
        <w:t xml:space="preserve"> [mailto:inguna.dancite@fm.gov.lv] </w:t>
      </w:r>
      <w:r>
        <w:rPr>
          <w:rFonts w:ascii="Calibri" w:eastAsia="Times New Roman" w:hAnsi="Calibri"/>
          <w:b/>
          <w:bCs/>
          <w:sz w:val="22"/>
          <w:szCs w:val="22"/>
          <w:lang w:val="en-US"/>
        </w:rPr>
        <w:t xml:space="preserve">On Behalf Of </w:t>
      </w:r>
      <w:r>
        <w:rPr>
          <w:rFonts w:ascii="Calibri" w:eastAsia="Times New Roman" w:hAnsi="Calibri"/>
          <w:sz w:val="22"/>
          <w:szCs w:val="22"/>
          <w:lang w:val="en-US"/>
        </w:rPr>
        <w:t>Pasts</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Tuesday, December 04, 2018 10:53 AM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Inga Tapiņa &lt;Inga.Tapina@varam.gov.lv&gt;</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FW: FM </w:t>
      </w:r>
      <w:proofErr w:type="spellStart"/>
      <w:r>
        <w:rPr>
          <w:rFonts w:ascii="Calibri" w:eastAsia="Times New Roman" w:hAnsi="Calibri"/>
          <w:sz w:val="22"/>
          <w:szCs w:val="22"/>
          <w:lang w:val="en-US"/>
        </w:rPr>
        <w:t>atzinums</w:t>
      </w:r>
      <w:proofErr w:type="spellEnd"/>
      <w:r>
        <w:rPr>
          <w:rFonts w:ascii="Calibri" w:eastAsia="Times New Roman" w:hAnsi="Calibri"/>
          <w:sz w:val="22"/>
          <w:szCs w:val="22"/>
          <w:lang w:val="en-US"/>
        </w:rPr>
        <w:t xml:space="preserve"> par </w:t>
      </w:r>
      <w:proofErr w:type="spellStart"/>
      <w:r>
        <w:rPr>
          <w:rFonts w:ascii="Calibri" w:eastAsia="Times New Roman" w:hAnsi="Calibri"/>
          <w:sz w:val="22"/>
          <w:szCs w:val="22"/>
          <w:lang w:val="en-US"/>
        </w:rPr>
        <w:t>precizēto</w:t>
      </w:r>
      <w:proofErr w:type="spellEnd"/>
      <w:r>
        <w:rPr>
          <w:rFonts w:ascii="Calibri" w:eastAsia="Times New Roman" w:hAnsi="Calibri"/>
          <w:sz w:val="22"/>
          <w:szCs w:val="22"/>
          <w:lang w:val="en-US"/>
        </w:rPr>
        <w:t xml:space="preserve"> TAP, VSS-46</w:t>
      </w:r>
    </w:p>
    <w:p w:rsidR="00E843DC" w:rsidRDefault="00E843DC" w:rsidP="00E843DC"/>
    <w:p w:rsidR="00E843DC" w:rsidRDefault="00E843DC" w:rsidP="00E843DC">
      <w:r>
        <w:t>04.12.2018.  Nr. 10.1-6/7-1/1575</w:t>
      </w:r>
    </w:p>
    <w:p w:rsidR="00E843DC" w:rsidRDefault="00E843DC" w:rsidP="00E843DC">
      <w:pPr>
        <w:rPr>
          <w:rFonts w:ascii="Calibri" w:hAnsi="Calibri"/>
          <w:color w:val="1F497D"/>
          <w:sz w:val="22"/>
          <w:szCs w:val="22"/>
        </w:rPr>
      </w:pPr>
    </w:p>
    <w:p w:rsidR="00E843DC" w:rsidRDefault="00E843DC" w:rsidP="00E843DC">
      <w:r>
        <w:t>Labdien!</w:t>
      </w:r>
    </w:p>
    <w:p w:rsidR="00E843DC" w:rsidRDefault="00E843DC" w:rsidP="00E843DC"/>
    <w:p w:rsidR="00E843DC" w:rsidRDefault="00E843DC" w:rsidP="00E843DC">
      <w:pPr>
        <w:jc w:val="both"/>
      </w:pPr>
      <w:r>
        <w:t>Finanšu ministrija atbilstoši kompetencei ir izskatījusi Vides aizsardzības un reģionālās attīstības ministrijas precizēto Ministru kabineta noteikumu projektu "Noteikumi par publisko ūdeņu nomu" VSS-46 (turpmāk – noteikumu projekts),</w:t>
      </w:r>
      <w:r>
        <w:rPr>
          <w:lang w:eastAsia="en-US"/>
        </w:rPr>
        <w:t xml:space="preserve"> tā sākotnējās ietekmes novērtējuma ziņojumu (anotāciju), Ministru kabineta sēdes </w:t>
      </w:r>
      <w:proofErr w:type="spellStart"/>
      <w:r>
        <w:rPr>
          <w:lang w:eastAsia="en-US"/>
        </w:rPr>
        <w:t>protokollēmuma</w:t>
      </w:r>
      <w:proofErr w:type="spellEnd"/>
      <w:r>
        <w:rPr>
          <w:lang w:eastAsia="en-US"/>
        </w:rPr>
        <w:t xml:space="preserve"> projektu un izziņu par atzinumos sniegtajiem iebildumiem, un izsaka tālāk minētos iebildumus</w:t>
      </w:r>
      <w:r>
        <w:t>.</w:t>
      </w:r>
    </w:p>
    <w:p w:rsidR="00E843DC" w:rsidRDefault="00E843DC" w:rsidP="00E843DC">
      <w:pPr>
        <w:jc w:val="both"/>
      </w:pPr>
    </w:p>
    <w:p w:rsidR="00E843DC" w:rsidRDefault="00E843DC" w:rsidP="00E843DC">
      <w:pPr>
        <w:jc w:val="both"/>
      </w:pPr>
      <w:r>
        <w:t xml:space="preserve">1. Ņemot vērā, ka noteikumu projekta 3.punkts nosaka, ka ūdenstilpes vai pludmales izmantošanai starp valsti un pašvaldību šos noteikumus nepiemēro, lūdzam atbilstoši precizēt anotācijas </w:t>
      </w:r>
      <w:proofErr w:type="spellStart"/>
      <w:r>
        <w:t>I.sadaļas</w:t>
      </w:r>
      <w:proofErr w:type="spellEnd"/>
      <w:r>
        <w:t xml:space="preserve"> 2.punktu (2., 3.lpp.) un izziņas par atzinumos sniegtajiem iebildumiem 132.punktu, kuros norādīts, ka noteikumu projektā ietverts izņēmums attiecībā uz nomas attiecībām starp valsti un pašvaldību, nosakot 3.punktā, ka netiek piemērotas noteikumu projekta II daļas prasības, proti, netiek organizēts konkurss vai izsole, kā arī netiek piemērota nomas maksa, </w:t>
      </w:r>
      <w:proofErr w:type="gramStart"/>
      <w:r>
        <w:t>savukārt,</w:t>
      </w:r>
      <w:proofErr w:type="gramEnd"/>
      <w:r>
        <w:t xml:space="preserve"> nomas līguma slēgšana un iespējamā iznomāšanas mērķa noteikšana attiecināma arī uz publisku un atvasinātu publisku personu un valsti. Tāpat lūdzam anotācijā norādīt, kādā veidā ūdenstilpe vai pludmale izmantojama starp valsti un pašvaldību.</w:t>
      </w:r>
      <w:bookmarkStart w:id="1" w:name="_GoBack"/>
      <w:bookmarkEnd w:id="1"/>
    </w:p>
    <w:p w:rsidR="00E843DC" w:rsidRDefault="00E843DC" w:rsidP="00E843DC"/>
    <w:p w:rsidR="00E843DC" w:rsidRDefault="00E843DC" w:rsidP="00E843DC">
      <w:pPr>
        <w:jc w:val="both"/>
      </w:pPr>
      <w:r>
        <w:t xml:space="preserve">2. Saskaņā ar noteikumu projekta 16. un 18. punktu konkursa gadījumā nomas maksa un izsoles gadījumā sākotnējā nomas maksa tiek noteikta atbilstoši neatkarīga vērtētāja tirgus nomas maksai. Saskaņā ar noteikumu projekta 26.punktu, rīkojot atkārtotu izsoli, nomas maksu var samazināt, bet ne vairāk kā par 20% no neatkarīga vērtētāja noteiktās tirgus vērtības. Savukārt noteikumu projekta 31.punkts noteic, </w:t>
      </w:r>
      <w:proofErr w:type="gramStart"/>
      <w:r>
        <w:t>ka</w:t>
      </w:r>
      <w:proofErr w:type="gramEnd"/>
      <w:r>
        <w:t xml:space="preserve"> slēdzot nomas līgumu, nomas maksu nosaka atbilstoši izsoles vai konkursa rezultātiem, nomas maksa nevar būt zemāka par 40 </w:t>
      </w:r>
      <w:proofErr w:type="spellStart"/>
      <w:r>
        <w:rPr>
          <w:i/>
          <w:iCs/>
        </w:rPr>
        <w:t>euro</w:t>
      </w:r>
      <w:proofErr w:type="spellEnd"/>
      <w:r>
        <w:t>.</w:t>
      </w:r>
    </w:p>
    <w:p w:rsidR="00E843DC" w:rsidRDefault="00E843DC" w:rsidP="00E843DC">
      <w:pPr>
        <w:jc w:val="both"/>
      </w:pPr>
      <w:r>
        <w:t xml:space="preserve">Noteikumu projekta anotācijas I sadaļas 2.punktā skaidrots, ka neatkarīga vērtētāja noteikto tirgus cenu nosaka par sākotnējo nomas maksu, vienlaikus tā nedrīkst būt zemāka par 40 </w:t>
      </w:r>
      <w:proofErr w:type="spellStart"/>
      <w:r>
        <w:rPr>
          <w:i/>
          <w:iCs/>
        </w:rPr>
        <w:t>euro</w:t>
      </w:r>
      <w:proofErr w:type="spellEnd"/>
      <w:r>
        <w:t xml:space="preserve">. </w:t>
      </w:r>
      <w:proofErr w:type="gramStart"/>
      <w:r>
        <w:t>Rīkojot nomas tiesību</w:t>
      </w:r>
      <w:proofErr w:type="gramEnd"/>
      <w:r>
        <w:t xml:space="preserve"> izsoli atkārtoti, var piemērot mazāku sākotnējo nomas maksu, vērtētāja noteikto  un sākotnēji izsludināto aktuālo tirgus cenu samazinot ne vairāk kā par 20%. </w:t>
      </w:r>
    </w:p>
    <w:p w:rsidR="00E843DC" w:rsidRDefault="00E843DC" w:rsidP="00E843DC">
      <w:pPr>
        <w:jc w:val="both"/>
      </w:pPr>
      <w:r>
        <w:t xml:space="preserve">Vēršam uzmanību, ka no noteikumu projekta 16., 18., 26.punktā ietvertā regulējuma nevar secināt, ka sākotnējā nomas maksa nevar būt zemāka par 40 </w:t>
      </w:r>
      <w:proofErr w:type="spellStart"/>
      <w:r>
        <w:rPr>
          <w:i/>
          <w:iCs/>
        </w:rPr>
        <w:t>euro</w:t>
      </w:r>
      <w:proofErr w:type="spellEnd"/>
      <w:r>
        <w:t xml:space="preserve">. Turklāt no noteikumu projekta 26.punkta izriet, ka rīkojot atkārtoto izsoli, arī sākotnējo nomas maksu, kas noteikta 40 </w:t>
      </w:r>
      <w:proofErr w:type="spellStart"/>
      <w:r>
        <w:rPr>
          <w:i/>
          <w:iCs/>
        </w:rPr>
        <w:t>euro</w:t>
      </w:r>
      <w:proofErr w:type="spellEnd"/>
      <w:r>
        <w:t xml:space="preserve"> apmērā (gadā), var tikt samazināta, kas būtu pretrunā noteikumu projekta 31.punkta nosacījumam par nomas maksas apmēru līguma slēgšanas gadījumā.  </w:t>
      </w:r>
    </w:p>
    <w:p w:rsidR="00E843DC" w:rsidRDefault="00E843DC" w:rsidP="00E843DC">
      <w:pPr>
        <w:jc w:val="both"/>
      </w:pPr>
      <w:r>
        <w:t xml:space="preserve">Ņemot vērā minēto, kā arī anotācijā un izziņā sniegto skaidrojumu, lūdzam izvērtēt, vai tiesiskās skaidrības nodrošināšanai nosacījums par minimālo nomas maksu nav ietverams jau 16., 18. un 26.punktā – var būt gadījumi, kad neatkarīga vērtētāja noteiktā tirgus nomas maksa ir zem 40 </w:t>
      </w:r>
      <w:proofErr w:type="spellStart"/>
      <w:r>
        <w:rPr>
          <w:i/>
          <w:iCs/>
        </w:rPr>
        <w:t>euro</w:t>
      </w:r>
      <w:proofErr w:type="spellEnd"/>
      <w:r>
        <w:t xml:space="preserve"> apmēra robežas.</w:t>
      </w:r>
    </w:p>
    <w:p w:rsidR="00E843DC" w:rsidRDefault="00E843DC" w:rsidP="00E843DC"/>
    <w:p w:rsidR="00E843DC" w:rsidRDefault="00E843DC" w:rsidP="00E843DC">
      <w:pPr>
        <w:jc w:val="both"/>
      </w:pPr>
      <w:r>
        <w:lastRenderedPageBreak/>
        <w:t>3. Noteikuma projekta 23.1.apakšpunkts būtu precizējams, nosakot, ka iznomātājs, izvērtējot lietderības apsvērumus, var piedāvāt slēgt nomas līgumu nākamajam pretendentam, kurš nosolījis augstāko nomas maksu izsoles gadījumā, vai nākamo izdevīgāko piedāvājumu konkursā.  Vēršam uzmanību, ka ir iespējami gadījumi, kad izvērtējot lietderības un citus apsvērumus, iznomātājam lietderīgāk noteikt jaunu izsoli vai konkursu, bet šādos gadījumos noteikumu projektā ietvertais regulējums šādas izvēles iespējas liedz. Līdz ar to lūdzam izvērtēt iespēju 23.1.apakšpunktā vārdus “tiek piedāvātas” aizstāt ar vārdiem “var tikt piedāvātas”.</w:t>
      </w:r>
    </w:p>
    <w:p w:rsidR="00E843DC" w:rsidRDefault="00E843DC" w:rsidP="00E843DC">
      <w:pPr>
        <w:jc w:val="both"/>
      </w:pPr>
    </w:p>
    <w:p w:rsidR="00E843DC" w:rsidRDefault="00E843DC" w:rsidP="00E843DC">
      <w:pPr>
        <w:jc w:val="both"/>
      </w:pPr>
      <w:r>
        <w:t xml:space="preserve">4. Noteikumu projekta 27.punktā noteikti gadījumi, kad nomas tiesību izsoli vai konkursu nerīko. Lūdzam precizēt minēto regulējumu, nosakot, ka nomas tiesību vai konkursu iznomātājs </w:t>
      </w:r>
      <w:r>
        <w:rPr>
          <w:u w:val="single"/>
        </w:rPr>
        <w:t>var nerīkot</w:t>
      </w:r>
      <w:r>
        <w:t xml:space="preserve"> 27.punktā minētajos gadījumos, tādējādi dodot iespēju iznomātājam, izvērtējot lietderības apsvērumus, pašam pieņemt lēmumu, vai konkrētā objekta iznomāšanai tomēr nav piemērojama izsole vai konkurss. Tāpat arī lūdzam papildināt 27.punktu ar nosacījumu, ka informācija par iznomājamo objektu publicējama iznomātāja tīmekļvietnē, un, </w:t>
      </w:r>
      <w:proofErr w:type="gramStart"/>
      <w:r>
        <w:t>ja piesakās vairāki pretendenti, rīkojuma izsole vai konkurss,</w:t>
      </w:r>
      <w:proofErr w:type="gramEnd"/>
      <w:r>
        <w:t xml:space="preserve"> kā arī noteikt to kārtību. </w:t>
      </w:r>
    </w:p>
    <w:p w:rsidR="00E843DC" w:rsidRDefault="00E843DC" w:rsidP="00E843DC">
      <w:pPr>
        <w:jc w:val="both"/>
      </w:pPr>
    </w:p>
    <w:p w:rsidR="00E843DC" w:rsidRDefault="00E843DC" w:rsidP="00E843DC">
      <w:pPr>
        <w:jc w:val="both"/>
      </w:pPr>
      <w:r>
        <w:t xml:space="preserve">5. Vēršam uzmanību, ka nav saprotams noteikumu projekta 27.punktā ietvertais izņēmuma gadījums – iznomāt uz laiku, kas nav ilgāks kā 10 dienas gadā – vai tas ir domāts vienai personai vai kopumā gada laikā vairākām personām. Tāpat norādām, ka anotācijā nav sniegts pamatojums noteikumu projekta 27.punkta ietvertajam regulējumam, kas paredz noteikt gadījumus, kad izsole vai konkurss nav rīkojami. </w:t>
      </w:r>
    </w:p>
    <w:p w:rsidR="00E843DC" w:rsidRDefault="00E843DC" w:rsidP="00E843DC">
      <w:pPr>
        <w:jc w:val="both"/>
      </w:pPr>
      <w:r>
        <w:t>Ievērojot minēto, lūdzam noteikumu projekta anotācijā sniegt attiecīgu skaidrojumu, kā arī piemērus gadījumiem, kad nomas tiesību izsoli vai konkursu iznomātājs var nerīkot. Tāpat arī lūdzam papildināt anotāciju ar pamatojumu noteikumu projekta 27.punktā noteiktajam termiņam (ne ilgāk kā 10 dienas gada laikā) un platībai (līdz 0,1 ha), kā arī sniegt skaidrojumu, vai nomas pakalpojumu maksas cenrādī nomas maksas pamatā jāņem vērā  kadastrālā vērtība vai tirgus nomas maksa.  Tāpat lūdzam noteikumu projekta anotācijā pamatot, kādēļ iznomājot ūdenstilpi vai pludmali 0,1 ha platībā bez konkursa vai izsoles, netiek noteikts īsāks nomas līguma termiņš</w:t>
      </w:r>
      <w:proofErr w:type="gramStart"/>
      <w:r>
        <w:t xml:space="preserve"> nekā</w:t>
      </w:r>
      <w:proofErr w:type="gramEnd"/>
      <w:r>
        <w:t xml:space="preserve"> tas noteikts noteikumu projekta 37.punktā (12 gadi).</w:t>
      </w:r>
    </w:p>
    <w:p w:rsidR="00E843DC" w:rsidRDefault="00E843DC" w:rsidP="00E843DC">
      <w:pPr>
        <w:jc w:val="both"/>
      </w:pPr>
    </w:p>
    <w:p w:rsidR="00E843DC" w:rsidRDefault="00E843DC" w:rsidP="00E843DC">
      <w:pPr>
        <w:jc w:val="both"/>
      </w:pPr>
      <w:r>
        <w:t xml:space="preserve">6. Saskaņā ar noteikumu projekta 29.punktu nomas līgumu slēdz ar personu, kas noteikta šo noteikumu 22.punktā minētajā lēmumā (tātad ar izsoles vai konkursa uzvarētāju). Noteikumu projektā nav ietverts regulējums attiecībā uz noteikumu projekta 27.punktā minēto gadījumu - vai un kā paredzēts slēgt nomas līgumu. Ievērojot minēto, lūdzam papildināt anotāciju ar skaidrojumu vai nepieciešamības gadījumā precizēt noteikumu projektu. </w:t>
      </w:r>
    </w:p>
    <w:p w:rsidR="00E843DC" w:rsidRDefault="00E843DC" w:rsidP="00E843DC">
      <w:pPr>
        <w:jc w:val="both"/>
      </w:pPr>
    </w:p>
    <w:p w:rsidR="00E843DC" w:rsidRDefault="00E843DC" w:rsidP="00E843DC">
      <w:pPr>
        <w:jc w:val="both"/>
      </w:pPr>
      <w:r>
        <w:t>7. Noteikumu projekta 33.punktā noteikts, ka iznomātājs vienpusēji pārskata nomas maksu ne retāk kā Publiskas personas finanšu līdzekļu un mantas izšķērdēšanas novēršanas likumā noteiktajā termiņā un maina atbilstoši neatkarīga vērtētāja noteiktajai aktuālajai nomas maksai. Vēršam uzmanību, ka tādējādi ir iespējams, ka pārskatītā nomas maksa būs mazāka par sākotnēji izsolē nosolīto nomas maksu, līdz ar to lūdzam izvērtēt šāda regulējuma atbilstību Publiskas personas finanšu līdzekļu un mantas izšķērdēšanas novēršanas likumā noteiktajiem principiem.</w:t>
      </w:r>
    </w:p>
    <w:p w:rsidR="00E843DC" w:rsidRDefault="00E843DC" w:rsidP="00E843DC"/>
    <w:p w:rsidR="00E843DC" w:rsidRDefault="00E843DC" w:rsidP="00E843DC">
      <w:pPr>
        <w:jc w:val="both"/>
      </w:pPr>
      <w:r>
        <w:t xml:space="preserve">8. Lūdzam skaidrot, kādēļ precizētajā saskaņošanā ir grozīta noteikumu projekta 37.punkta redakcija. Tiesiskās skaidrības nodrošināšanai lūdzam noteikumu projekta </w:t>
      </w:r>
      <w:r>
        <w:lastRenderedPageBreak/>
        <w:t xml:space="preserve">37.punktu precizēt atbilstoši tā sākotnējai redakcijai ar ietverto atsauci uz noteikumu projekta 6.punktu: “37. Ūdenstilpi vai pludmali var iznomāt uz laiku līdz 12 gadiem. Ja ūdenstilpi iznomā teritorijas kompleksai izmantošanai saskaņā ar šo noteikumu 6.punktu, nomas termiņu var noteikt līdz 30 gadiem.” </w:t>
      </w:r>
    </w:p>
    <w:p w:rsidR="00E843DC" w:rsidRDefault="00E843DC" w:rsidP="00E843DC"/>
    <w:p w:rsidR="00E843DC" w:rsidRDefault="00E843DC" w:rsidP="00E843DC">
      <w:pPr>
        <w:jc w:val="both"/>
      </w:pPr>
      <w:r>
        <w:t>9. Noteikumu projekta 6.punktā minētajā gadījumā teritorijas kompleksas izmantošanas ieceres īstenošanai var tikt iznomātas vairākas ūdenstilpei piegulošās zemes vienības un nomas līguma termiņš tādā gadījumā var tikt noteikts līdz 30 gadiem. Vēršam uzmanību, ka minētajā periodā var būtiski mainīties faktiskā situācija, tostarp, iznomātājam var rasties nepieciešamība iznomāto objektu izmantot publiskas personas funkcijām. Ievērojot minēto, lūdzam noteikumu projekta 32.punktu precizēt, papildinot to ar šādu nomas līgumā norādāmo informāciju: “līguma izbeigšanas nosacījumi, tai skaitā vienpusējas tiesības atkāpties no nomas līguma.”</w:t>
      </w:r>
    </w:p>
    <w:p w:rsidR="00E843DC" w:rsidRDefault="00E843DC" w:rsidP="00E843DC"/>
    <w:p w:rsidR="00E843DC" w:rsidRDefault="00E843DC" w:rsidP="00E843DC"/>
    <w:p w:rsidR="00E843DC" w:rsidRDefault="00E843DC" w:rsidP="00E843DC"/>
    <w:p w:rsidR="00E843DC" w:rsidRDefault="00E843DC" w:rsidP="00E843DC">
      <w:pPr>
        <w:rPr>
          <w:rFonts w:ascii="Franklin Gothic Medium" w:hAnsi="Franklin Gothic Medium"/>
          <w:color w:val="1F497D"/>
          <w:sz w:val="20"/>
          <w:szCs w:val="20"/>
        </w:rPr>
      </w:pPr>
      <w:r>
        <w:rPr>
          <w:rFonts w:ascii="Franklin Gothic Medium" w:hAnsi="Franklin Gothic Medium"/>
          <w:color w:val="1F497D"/>
          <w:sz w:val="20"/>
          <w:szCs w:val="20"/>
        </w:rPr>
        <w:t>Ar cieņu</w:t>
      </w:r>
    </w:p>
    <w:p w:rsidR="00E843DC" w:rsidRDefault="00E843DC" w:rsidP="00E843DC">
      <w:pPr>
        <w:rPr>
          <w:rFonts w:ascii="Franklin Gothic Medium" w:hAnsi="Franklin Gothic Medium"/>
          <w:b/>
          <w:bCs/>
          <w:color w:val="1F497D"/>
          <w:sz w:val="20"/>
          <w:szCs w:val="20"/>
        </w:rPr>
      </w:pPr>
    </w:p>
    <w:p w:rsidR="00E843DC" w:rsidRDefault="00E843DC" w:rsidP="00E843DC">
      <w:pPr>
        <w:rPr>
          <w:rFonts w:ascii="Franklin Gothic Medium" w:hAnsi="Franklin Gothic Medium"/>
          <w:b/>
          <w:bCs/>
          <w:color w:val="1F497D"/>
          <w:sz w:val="20"/>
          <w:szCs w:val="20"/>
        </w:rPr>
      </w:pPr>
      <w:r>
        <w:rPr>
          <w:rFonts w:ascii="Franklin Gothic Medium" w:hAnsi="Franklin Gothic Medium"/>
          <w:b/>
          <w:bCs/>
          <w:color w:val="1F497D"/>
          <w:sz w:val="20"/>
          <w:szCs w:val="20"/>
        </w:rPr>
        <w:t xml:space="preserve">Ilga </w:t>
      </w:r>
      <w:proofErr w:type="spellStart"/>
      <w:r>
        <w:rPr>
          <w:rFonts w:ascii="Franklin Gothic Medium" w:hAnsi="Franklin Gothic Medium"/>
          <w:b/>
          <w:bCs/>
          <w:color w:val="1F497D"/>
          <w:sz w:val="20"/>
          <w:szCs w:val="20"/>
        </w:rPr>
        <w:t>Jermacāne</w:t>
      </w:r>
      <w:proofErr w:type="spellEnd"/>
    </w:p>
    <w:p w:rsidR="00E843DC" w:rsidRDefault="00E843DC" w:rsidP="00E843DC">
      <w:pPr>
        <w:rPr>
          <w:rFonts w:ascii="Franklin Gothic Book" w:hAnsi="Franklin Gothic Book"/>
          <w:color w:val="7F7F7F"/>
          <w:sz w:val="16"/>
          <w:szCs w:val="16"/>
        </w:rPr>
      </w:pPr>
      <w:r>
        <w:rPr>
          <w:rFonts w:ascii="Franklin Gothic Book" w:hAnsi="Franklin Gothic Book"/>
          <w:color w:val="7F7F7F"/>
          <w:sz w:val="16"/>
          <w:szCs w:val="16"/>
        </w:rPr>
        <w:t xml:space="preserve">Juridiskā departamenta </w:t>
      </w:r>
    </w:p>
    <w:p w:rsidR="00E843DC" w:rsidRDefault="00E843DC" w:rsidP="00E843DC">
      <w:pPr>
        <w:rPr>
          <w:rFonts w:ascii="Franklin Gothic Book" w:hAnsi="Franklin Gothic Book"/>
          <w:color w:val="7F7F7F"/>
          <w:sz w:val="16"/>
          <w:szCs w:val="16"/>
        </w:rPr>
      </w:pPr>
      <w:r>
        <w:rPr>
          <w:rFonts w:ascii="Franklin Gothic Book" w:hAnsi="Franklin Gothic Book"/>
          <w:color w:val="7F7F7F"/>
          <w:sz w:val="16"/>
          <w:szCs w:val="16"/>
        </w:rPr>
        <w:t>Tiesību aktu nodaļas juriskonsulte</w:t>
      </w:r>
      <w:r>
        <w:rPr>
          <w:rFonts w:ascii="Franklin Gothic Book" w:hAnsi="Franklin Gothic Book"/>
          <w:color w:val="0563C1"/>
          <w:sz w:val="16"/>
          <w:szCs w:val="16"/>
          <w:u w:val="single"/>
        </w:rPr>
        <w:br/>
      </w:r>
      <w:r>
        <w:rPr>
          <w:rFonts w:ascii="Franklin Gothic Book" w:hAnsi="Franklin Gothic Book"/>
          <w:color w:val="7F7F7F"/>
          <w:sz w:val="16"/>
          <w:szCs w:val="16"/>
        </w:rPr>
        <w:t>Tālr. (+371)  67083802</w:t>
      </w:r>
    </w:p>
    <w:p w:rsidR="00E843DC" w:rsidRDefault="00E843DC" w:rsidP="00E843DC">
      <w:pPr>
        <w:rPr>
          <w:rFonts w:ascii="Franklin Gothic Book" w:hAnsi="Franklin Gothic Book"/>
          <w:color w:val="7F7F7F"/>
          <w:sz w:val="16"/>
          <w:szCs w:val="16"/>
        </w:rPr>
      </w:pPr>
      <w:r>
        <w:rPr>
          <w:rFonts w:ascii="Franklin Gothic Book" w:hAnsi="Franklin Gothic Book"/>
          <w:color w:val="7F7F7F"/>
          <w:sz w:val="16"/>
          <w:szCs w:val="16"/>
        </w:rPr>
        <w:t>E-pasts:</w:t>
      </w:r>
      <w:r>
        <w:rPr>
          <w:rFonts w:ascii="Franklin Gothic Book" w:hAnsi="Franklin Gothic Book"/>
          <w:color w:val="1F3864"/>
          <w:sz w:val="16"/>
          <w:szCs w:val="16"/>
        </w:rPr>
        <w:t xml:space="preserve"> </w:t>
      </w:r>
      <w:hyperlink r:id="rId4" w:history="1">
        <w:r>
          <w:rPr>
            <w:rStyle w:val="Hyperlink"/>
            <w:rFonts w:ascii="Franklin Gothic Book" w:hAnsi="Franklin Gothic Book"/>
            <w:sz w:val="16"/>
            <w:szCs w:val="16"/>
          </w:rPr>
          <w:t>Ilga.Jermacane@fm.gov.lv</w:t>
        </w:r>
      </w:hyperlink>
      <w:r>
        <w:rPr>
          <w:rFonts w:ascii="Franklin Gothic Book" w:hAnsi="Franklin Gothic Book"/>
          <w:color w:val="1F497D"/>
          <w:sz w:val="16"/>
          <w:szCs w:val="16"/>
          <w:u w:val="single"/>
        </w:rPr>
        <w:t xml:space="preserve"> </w:t>
      </w:r>
    </w:p>
    <w:p w:rsidR="00E843DC" w:rsidRDefault="00E843DC" w:rsidP="00E843DC">
      <w:pPr>
        <w:rPr>
          <w:rFonts w:ascii="Franklin Gothic Book" w:hAnsi="Franklin Gothic Book"/>
          <w:color w:val="7F7F7F"/>
          <w:sz w:val="16"/>
          <w:szCs w:val="16"/>
        </w:rPr>
      </w:pPr>
    </w:p>
    <w:p w:rsidR="00E843DC" w:rsidRDefault="00E843DC" w:rsidP="00E843DC">
      <w:pPr>
        <w:rPr>
          <w:rFonts w:ascii="Franklin Gothic Book" w:hAnsi="Franklin Gothic Book"/>
          <w:color w:val="7F7F7F"/>
          <w:sz w:val="16"/>
          <w:szCs w:val="16"/>
        </w:rPr>
      </w:pPr>
      <w:r>
        <w:rPr>
          <w:rFonts w:ascii="Franklin Gothic Book" w:hAnsi="Franklin Gothic Book"/>
          <w:color w:val="7F7F7F"/>
          <w:sz w:val="16"/>
          <w:szCs w:val="16"/>
        </w:rPr>
        <w:t>Latvijas Republikas Finanšu ministrija</w:t>
      </w:r>
    </w:p>
    <w:p w:rsidR="00E843DC" w:rsidRDefault="00E843DC" w:rsidP="00E843DC">
      <w:pPr>
        <w:rPr>
          <w:rFonts w:ascii="Franklin Gothic Book" w:hAnsi="Franklin Gothic Book"/>
          <w:color w:val="7F7F7F"/>
          <w:sz w:val="16"/>
          <w:szCs w:val="16"/>
        </w:rPr>
      </w:pPr>
      <w:r>
        <w:rPr>
          <w:rFonts w:ascii="Franklin Gothic Book" w:hAnsi="Franklin Gothic Book"/>
          <w:color w:val="7F7F7F"/>
          <w:sz w:val="16"/>
          <w:szCs w:val="16"/>
        </w:rPr>
        <w:t>Smilšu iela 1, Rīga, LV-1919, Latvija</w:t>
      </w:r>
    </w:p>
    <w:p w:rsidR="00E843DC" w:rsidRDefault="00E843DC" w:rsidP="00E843DC">
      <w:pPr>
        <w:rPr>
          <w:rFonts w:ascii="Calibri" w:hAnsi="Calibri"/>
          <w:color w:val="1F497D"/>
          <w:sz w:val="16"/>
          <w:szCs w:val="16"/>
          <w:lang w:eastAsia="en-US"/>
        </w:rPr>
      </w:pPr>
      <w:r>
        <w:rPr>
          <w:rFonts w:ascii="Franklin Gothic Book" w:hAnsi="Franklin Gothic Book"/>
          <w:color w:val="7F7F7F"/>
          <w:sz w:val="16"/>
          <w:szCs w:val="16"/>
        </w:rPr>
        <w:t xml:space="preserve">Mājaslapa: </w:t>
      </w:r>
      <w:hyperlink r:id="rId5" w:history="1">
        <w:r>
          <w:rPr>
            <w:rStyle w:val="Hyperlink"/>
            <w:rFonts w:ascii="Franklin Gothic Book" w:hAnsi="Franklin Gothic Book"/>
            <w:color w:val="1F497D"/>
            <w:sz w:val="16"/>
            <w:szCs w:val="16"/>
          </w:rPr>
          <w:t>www.fm.gov.lv</w:t>
        </w:r>
      </w:hyperlink>
    </w:p>
    <w:p w:rsidR="00E843DC" w:rsidRDefault="00E843DC" w:rsidP="00E843DC">
      <w:pPr>
        <w:rPr>
          <w:rFonts w:ascii="Franklin Gothic Book" w:hAnsi="Franklin Gothic Book"/>
          <w:color w:val="7F7F7F"/>
          <w:sz w:val="16"/>
          <w:szCs w:val="16"/>
        </w:rPr>
      </w:pPr>
      <w:r>
        <w:rPr>
          <w:rFonts w:ascii="Franklin Gothic Book" w:hAnsi="Franklin Gothic Book"/>
          <w:color w:val="7F7F7F"/>
          <w:sz w:val="16"/>
          <w:szCs w:val="16"/>
        </w:rPr>
        <w:t>E-pasts:</w:t>
      </w:r>
      <w:r>
        <w:rPr>
          <w:rFonts w:ascii="Calibri" w:hAnsi="Calibri"/>
          <w:color w:val="1F497D"/>
          <w:sz w:val="16"/>
          <w:szCs w:val="16"/>
        </w:rPr>
        <w:t xml:space="preserve"> </w:t>
      </w:r>
      <w:hyperlink r:id="rId6" w:history="1">
        <w:r>
          <w:rPr>
            <w:rStyle w:val="Hyperlink"/>
            <w:rFonts w:ascii="Franklin Gothic Book" w:hAnsi="Franklin Gothic Book"/>
            <w:color w:val="1F497D"/>
            <w:sz w:val="16"/>
            <w:szCs w:val="16"/>
          </w:rPr>
          <w:t>pasts@fm.gov.lv</w:t>
        </w:r>
      </w:hyperlink>
      <w:r>
        <w:rPr>
          <w:rFonts w:ascii="Calibri" w:hAnsi="Calibri"/>
          <w:color w:val="1F497D"/>
          <w:sz w:val="16"/>
          <w:szCs w:val="16"/>
        </w:rPr>
        <w:t xml:space="preserve"> </w:t>
      </w:r>
      <w:r>
        <w:rPr>
          <w:rFonts w:ascii="Franklin Gothic Book" w:hAnsi="Franklin Gothic Book"/>
          <w:color w:val="7F7F7F"/>
          <w:sz w:val="16"/>
          <w:szCs w:val="16"/>
        </w:rPr>
        <w:t> </w:t>
      </w:r>
      <w:r>
        <w:rPr>
          <w:rFonts w:ascii="Franklin Gothic Book" w:hAnsi="Franklin Gothic Book"/>
          <w:color w:val="0D3051"/>
          <w:sz w:val="16"/>
          <w:szCs w:val="16"/>
        </w:rPr>
        <w:t>  </w:t>
      </w:r>
      <w:r>
        <w:rPr>
          <w:rFonts w:ascii="Franklin Gothic Book" w:hAnsi="Franklin Gothic Book"/>
          <w:color w:val="1F497D"/>
          <w:sz w:val="16"/>
          <w:szCs w:val="16"/>
        </w:rPr>
        <w:t xml:space="preserve">  </w:t>
      </w:r>
    </w:p>
    <w:p w:rsidR="00E843DC" w:rsidRDefault="00E843DC" w:rsidP="00E843DC">
      <w:r>
        <w:rPr>
          <w:rFonts w:ascii="Calibri" w:hAnsi="Calibri"/>
          <w:noProof/>
          <w:sz w:val="22"/>
          <w:szCs w:val="22"/>
        </w:rPr>
        <w:drawing>
          <wp:inline distT="0" distB="0" distL="0" distR="0">
            <wp:extent cx="715645" cy="723265"/>
            <wp:effectExtent l="0" t="0" r="8255" b="635"/>
            <wp:docPr id="2" name="Picture 2" descr="cid:image008.jpg@01D35ECC.1E76872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8.jpg@01D35ECC.1E7687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rFonts w:ascii="Calibri" w:hAnsi="Calibri"/>
          <w:color w:val="1F497D"/>
          <w:sz w:val="22"/>
          <w:szCs w:val="22"/>
        </w:rPr>
        <w:t xml:space="preserve">  </w:t>
      </w:r>
      <w:r>
        <w:rPr>
          <w:rFonts w:ascii="Calibri" w:hAnsi="Calibri"/>
          <w:noProof/>
          <w:color w:val="1F497D"/>
          <w:sz w:val="22"/>
          <w:szCs w:val="22"/>
        </w:rPr>
        <w:drawing>
          <wp:inline distT="0" distB="0" distL="0" distR="0">
            <wp:extent cx="874395" cy="580390"/>
            <wp:effectExtent l="0" t="0" r="1905" b="0"/>
            <wp:docPr id="1" name="Picture 1" descr="cid:image009.png@01D35ECC.1E7687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9.png@01D35ECC.1E7687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74395" cy="580390"/>
                    </a:xfrm>
                    <a:prstGeom prst="rect">
                      <a:avLst/>
                    </a:prstGeom>
                    <a:noFill/>
                    <a:ln>
                      <a:noFill/>
                    </a:ln>
                  </pic:spPr>
                </pic:pic>
              </a:graphicData>
            </a:graphic>
          </wp:inline>
        </w:drawing>
      </w:r>
      <w:r>
        <w:t> </w:t>
      </w:r>
    </w:p>
    <w:p w:rsidR="00E843DC" w:rsidRDefault="00E843DC" w:rsidP="00E843DC"/>
    <w:p w:rsidR="00E843DC" w:rsidRDefault="00E843DC" w:rsidP="00E843DC">
      <w:pPr>
        <w:spacing w:after="240"/>
        <w:rPr>
          <w:rFonts w:ascii="Franklin Gothic Book" w:hAnsi="Franklin Gothic Book"/>
          <w:color w:val="767573"/>
          <w:sz w:val="16"/>
          <w:szCs w:val="16"/>
          <w:lang w:val="en-US" w:eastAsia="en-US"/>
        </w:rPr>
      </w:pPr>
      <w:r>
        <w:rPr>
          <w:rFonts w:ascii="Franklin Gothic Medium" w:hAnsi="Franklin Gothic Medium"/>
          <w:b/>
          <w:bCs/>
          <w:color w:val="1F497D"/>
          <w:sz w:val="20"/>
          <w:szCs w:val="20"/>
          <w:lang w:val="en-US" w:eastAsia="en-US"/>
        </w:rPr>
        <w:t>Sabīne Ālmane</w:t>
      </w:r>
      <w:r>
        <w:rPr>
          <w:rFonts w:ascii="Franklin Gothic Book" w:hAnsi="Franklin Gothic Book"/>
          <w:color w:val="767573"/>
          <w:sz w:val="16"/>
          <w:szCs w:val="16"/>
          <w:lang w:val="en-US" w:eastAsia="en-US"/>
        </w:rPr>
        <w:br/>
      </w:r>
      <w:proofErr w:type="spellStart"/>
      <w:r>
        <w:rPr>
          <w:rFonts w:ascii="Franklin Gothic Book" w:hAnsi="Franklin Gothic Book"/>
          <w:color w:val="767573"/>
          <w:sz w:val="16"/>
          <w:szCs w:val="16"/>
          <w:lang w:val="en-US" w:eastAsia="en-US"/>
        </w:rPr>
        <w:t>Juridiskā</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departamenta</w:t>
      </w:r>
      <w:proofErr w:type="spellEnd"/>
      <w:r>
        <w:rPr>
          <w:rFonts w:ascii="Franklin Gothic Book" w:hAnsi="Franklin Gothic Book"/>
          <w:color w:val="767573"/>
          <w:sz w:val="16"/>
          <w:szCs w:val="16"/>
          <w:lang w:val="en-US" w:eastAsia="en-US"/>
        </w:rPr>
        <w:t xml:space="preserve"> </w:t>
      </w:r>
      <w:r>
        <w:rPr>
          <w:rFonts w:ascii="Franklin Gothic Book" w:hAnsi="Franklin Gothic Book"/>
          <w:color w:val="767573"/>
          <w:sz w:val="16"/>
          <w:szCs w:val="16"/>
          <w:lang w:val="en-US" w:eastAsia="en-US"/>
        </w:rPr>
        <w:br/>
      </w:r>
      <w:proofErr w:type="spellStart"/>
      <w:r>
        <w:rPr>
          <w:rFonts w:ascii="Franklin Gothic Book" w:hAnsi="Franklin Gothic Book"/>
          <w:color w:val="767573"/>
          <w:sz w:val="16"/>
          <w:szCs w:val="16"/>
          <w:lang w:val="en-US" w:eastAsia="en-US"/>
        </w:rPr>
        <w:t>Iepirkumu</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politikas</w:t>
      </w:r>
      <w:proofErr w:type="spellEnd"/>
      <w:r>
        <w:rPr>
          <w:rFonts w:ascii="Franklin Gothic Book" w:hAnsi="Franklin Gothic Book"/>
          <w:color w:val="767573"/>
          <w:sz w:val="16"/>
          <w:szCs w:val="16"/>
          <w:lang w:val="en-US" w:eastAsia="en-US"/>
        </w:rPr>
        <w:t xml:space="preserve"> un </w:t>
      </w:r>
      <w:proofErr w:type="spellStart"/>
      <w:r>
        <w:rPr>
          <w:rFonts w:ascii="Franklin Gothic Book" w:hAnsi="Franklin Gothic Book"/>
          <w:color w:val="767573"/>
          <w:sz w:val="16"/>
          <w:szCs w:val="16"/>
          <w:lang w:val="en-US" w:eastAsia="en-US"/>
        </w:rPr>
        <w:t>valsts</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nekustamo</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īpašumu</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pārvaldīšanas</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politikas</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nodaļas</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vecākā</w:t>
      </w:r>
      <w:proofErr w:type="spellEnd"/>
      <w:r>
        <w:rPr>
          <w:rFonts w:ascii="Franklin Gothic Book" w:hAnsi="Franklin Gothic Book"/>
          <w:color w:val="767573"/>
          <w:sz w:val="16"/>
          <w:szCs w:val="16"/>
          <w:lang w:val="en-US" w:eastAsia="en-US"/>
        </w:rPr>
        <w:t xml:space="preserve"> </w:t>
      </w:r>
      <w:proofErr w:type="spellStart"/>
      <w:r>
        <w:rPr>
          <w:rFonts w:ascii="Franklin Gothic Book" w:hAnsi="Franklin Gothic Book"/>
          <w:color w:val="767573"/>
          <w:sz w:val="16"/>
          <w:szCs w:val="16"/>
          <w:lang w:val="en-US" w:eastAsia="en-US"/>
        </w:rPr>
        <w:t>eksperte</w:t>
      </w:r>
      <w:proofErr w:type="spellEnd"/>
      <w:r>
        <w:rPr>
          <w:rFonts w:ascii="Franklin Gothic Book" w:hAnsi="Franklin Gothic Book"/>
          <w:color w:val="767573"/>
          <w:sz w:val="16"/>
          <w:szCs w:val="16"/>
          <w:lang w:val="en-US" w:eastAsia="en-US"/>
        </w:rPr>
        <w:br/>
        <w:t xml:space="preserve">E-pasts: </w:t>
      </w:r>
      <w:hyperlink r:id="rId12" w:history="1">
        <w:r>
          <w:rPr>
            <w:rStyle w:val="Hyperlink"/>
            <w:rFonts w:ascii="Franklin Gothic Book" w:hAnsi="Franklin Gothic Book"/>
            <w:color w:val="1F497D"/>
            <w:sz w:val="16"/>
            <w:szCs w:val="16"/>
            <w:lang w:val="en-US" w:eastAsia="en-US"/>
          </w:rPr>
          <w:t>sabine.almane@fm.gov.lv</w:t>
        </w:r>
      </w:hyperlink>
      <w:r>
        <w:rPr>
          <w:rFonts w:ascii="Franklin Gothic Book" w:hAnsi="Franklin Gothic Book"/>
          <w:color w:val="1F497D"/>
          <w:sz w:val="16"/>
          <w:szCs w:val="16"/>
          <w:lang w:val="en-US" w:eastAsia="en-US"/>
        </w:rPr>
        <w:br/>
      </w:r>
      <w:proofErr w:type="spellStart"/>
      <w:proofErr w:type="gramStart"/>
      <w:r>
        <w:rPr>
          <w:rFonts w:ascii="Franklin Gothic Book" w:hAnsi="Franklin Gothic Book"/>
          <w:color w:val="767573"/>
          <w:sz w:val="16"/>
          <w:szCs w:val="16"/>
          <w:lang w:val="en-US" w:eastAsia="en-US"/>
        </w:rPr>
        <w:t>Tālr</w:t>
      </w:r>
      <w:proofErr w:type="spellEnd"/>
      <w:r>
        <w:rPr>
          <w:rFonts w:ascii="Franklin Gothic Book" w:hAnsi="Franklin Gothic Book"/>
          <w:color w:val="767573"/>
          <w:sz w:val="16"/>
          <w:szCs w:val="16"/>
          <w:lang w:val="en-US" w:eastAsia="en-US"/>
        </w:rPr>
        <w:t>.:</w:t>
      </w:r>
      <w:proofErr w:type="gramEnd"/>
      <w:r>
        <w:rPr>
          <w:rFonts w:ascii="Franklin Gothic Book" w:hAnsi="Franklin Gothic Book"/>
          <w:color w:val="767573"/>
          <w:sz w:val="16"/>
          <w:szCs w:val="16"/>
          <w:lang w:val="en-US" w:eastAsia="en-US"/>
        </w:rPr>
        <w:t xml:space="preserve"> 67095597</w:t>
      </w:r>
      <w:bookmarkEnd w:id="0"/>
    </w:p>
    <w:p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Franklin Gothic Medium">
    <w:panose1 w:val="020B0603020102020204"/>
    <w:charset w:val="BA"/>
    <w:family w:val="swiss"/>
    <w:pitch w:val="variable"/>
    <w:sig w:usb0="00000287" w:usb1="00000000" w:usb2="00000000" w:usb3="00000000" w:csb0="0000009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3DC"/>
    <w:rsid w:val="00B13F2C"/>
    <w:rsid w:val="00E8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0315CB-87AB-4F51-A768-09F62DBF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3DC"/>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43D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68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48705.A2B11E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mailto:%20sabine.almane@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fm.gov.lv" TargetMode="External"/><Relationship Id="rId11" Type="http://schemas.openxmlformats.org/officeDocument/2006/relationships/image" Target="cid:image002.png@01D48705.A2B11ED0" TargetMode="External"/><Relationship Id="rId5" Type="http://schemas.openxmlformats.org/officeDocument/2006/relationships/hyperlink" Target="http://www.fm.gov.lv/" TargetMode="External"/><Relationship Id="rId10" Type="http://schemas.openxmlformats.org/officeDocument/2006/relationships/image" Target="media/image2.png"/><Relationship Id="rId4" Type="http://schemas.openxmlformats.org/officeDocument/2006/relationships/hyperlink" Target="mailto:Ilga.Jermacane@fm.gov.lv" TargetMode="External"/><Relationship Id="rId9" Type="http://schemas.openxmlformats.org/officeDocument/2006/relationships/hyperlink" Target="http://lv100.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5240</Words>
  <Characters>2988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2019-01-15T13:13:00Z</dcterms:created>
  <dcterms:modified xsi:type="dcterms:W3CDTF">2019-01-15T13:15:00Z</dcterms:modified>
</cp:coreProperties>
</file>