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In vitro</w:t>
            </w:r>
            <w:r w:rsidR="00000000" w:rsidRPr="00000000" w:rsidDel="00000000">
              <w:rPr>
                <w:rtl w:val="0"/>
              </w:rPr>
              <w:t xml:space="preserve"> diagnostikas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 punktā norādīto, ka noteikumu projektā iekļauto tiesību normu finansiālā ietekme uz valsts budžetu norādīta un atbilst Ministru kabineta noteikumu projekta "Grozījumi Ministru kabineta 2023. gada 15. augusta noteikumos Nr. 455 "Cilvēkiem paredzēto medicīnisko ierīču klīnisko pētījumu un in vitro diagnostikas medicīnisko ierīču veiktspējas pētījumu veikšanas kārtība" anotācijā (25-TA-1324) norādītajai ietekmei uz valsts budžetu, attiecībā par noteikumu projektu, anotāciju un MK sēdes protokollēmumu projektu jāņem vērā FM izteiktais iebildums par VM sagatavoto MK noteikumu "Cilvēkiem paredzēto medicīnisko ierīču klīnisko pētījumu un in vitro diagnostikas medicīnisko ierīču veiktspējas pētījumu veikšanas kārtība" projektu (25-TA-1324).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02.10.2025.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02.10.2025.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