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Nekustamā īpašuma valsts kadastra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2)būvi,izņemot: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izteiktās redakcijas un anotācijā norādīta saprotams, ka apakšpunkti d) un e) tiek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lūdzam noteikt, ka žogus nenosaka kā  kadastra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korekti pamatots kādēļ žogs ir kadastra objekts. Apgalvojums, “Praksē jau šobrīd žogi tiek kadastrāli uzmērīti un reģistrēti Kadastra informācijas sistēmā kā kadastra objekti. Žogs ir būve, kuras uzstādīšanai vai būvniecībai atsevišķos gadījumos nav vajadzīga būvatļauja, bet būvvaldē jāiesniedz paskaidrojuma raksts. Šāda kārtība ir noteikta Ministru kabineta 2014. gada 19. augusta noteikumu Nr. 500 “Vispārīgie būvnoteikumi” 70. punktā” -nav korekts, jo nav skatīts citos normatīvos 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 reģistrēšana par būvēm ir pretrunā Ministru kabineta 2017. gada 9. maijā noteikumos Nr. 253 “Atsevišķu inženierbūvju būvnoteikumi” (6.punkts, 6.3.4.apakšpunkts) noteikto, ka žogi ir labiekārtojuma elementi un tiem neizstrādā būvniecības ieceres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cita regulējuma žogu izbūvei, nomaiņai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 būvniecība skar īpašuma robežas, kur daudz gadījumu, kad žogu izbūvē vai atjauno skarot cita īpašuma teritoriju, neatbilstoši īpašuma robežām. Kā rezultātā veidosies situācijas, ka žogs – būve var atrasties uz vairākām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žogu reģistrācija kā būvi, neparedzot tam attiecīgās būvniecības dokumentācijas izstrādi un izbūves pārbaudi, kā tas piemēram noteikts jaunbūvējamām būvēm. Tajā skaitā kontroli, vai ievērots Ministru kabineta 2013.gada 30.aprīļa noteikumu Nr.240 “Vispārīgie teritorijas plānošanas, izmantošanas un apbūves noteikumi” 132.punktā noteiktais,  ka jaunbūvējamās būves izvieto ne tuvāk par 4 m no zemes vienības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žogu izbūvi, izmēriem un attālumiem uz savstarpējās īpašumu robežas nav viennozīmīga regulējuma. Kā arī nav regulējuma un nav pienākuma nodot žogu ekspluatācijā un veikt izbūves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precizēts, kādus žogus būtu jāvērtē kā būves (drāšu, koka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iebilstam par žoga reģistrāciju kā nekustamā īpašuma objektu (būvi) bez iepriekš minēto jautājumu sakārtošanas.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21.38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21.38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Atzinumi_21-TA-353.docx</dc:title>
</cp:coreProperties>
</file>

<file path=docProps/custom.xml><?xml version="1.0" encoding="utf-8"?>
<Properties xmlns="http://schemas.openxmlformats.org/officeDocument/2006/custom-properties" xmlns:vt="http://schemas.openxmlformats.org/officeDocument/2006/docPropsVTypes"/>
</file>