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nediskrimināciijas principu, lūdzam rast iespēju papildināt sadaļu ar vispārīgo HP darbību, kas veicina personu ar invaliditāti vienlīdzīgas iespējas un tiesības aprakstu atbilstoši HP vadlīnijām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publicitātes un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pasākumam nav ietekmes uz HP VINPI.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projektu īstenošanā tiek veicināta vienlīdzība, iekļaušana, nediskriminācija un  ievērotas  pamattiesības, lūdzam norādīt, ka projekta projektu iesniegumu vērtēšanā tiks piemērots HP VINPI specifiskais atbilstības kritērijs. Kritērijā tiks vērtēts, vai projekta iesniegumā ir paredzēta </w:t>
            </w:r>
            <w:r w:rsidR="00000000" w:rsidRPr="00000000" w:rsidDel="00000000">
              <w:rPr>
                <w:u w:val="single"/>
                <w:rtl w:val="0"/>
              </w:rPr>
              <w:t xml:space="preserve">vismaz viena vispārīgā HP VINPI darbība</w:t>
            </w:r>
            <w:r w:rsidR="00000000" w:rsidRPr="00000000" w:rsidDel="00000000">
              <w:rPr>
                <w:rtl w:val="0"/>
              </w:rPr>
              <w:t xml:space="preserve">, kas attiecas uz publicitāti, personālu vai publiskajiem iepirkumiem. Kritēriju var nepiemērots projektos, kuru satura dēļ nav iespējams īstenot nevienu HP VINPI darbību, jo netiek īstenota publicitāte un iepirkumi un netiek piesaistīts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23.08.2023.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23.08.2023.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