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"Par valsts budžetu 2025. gadam un budžeta ietvaru 2025., 2026. un 2027.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ministrijai iesniegt priekšlikumu Finanšu ministrijai palielināt pamatbudžetā iemaksājamās valsts nodevas prognozi 2025.gadam un turpmākajiem gadiem par 344 920  euro, tai skaitā palielinot nodevu par darbību veikšanu tiesu iestādēs par 284 920 euro un palielinot nodevu par izpildu dokumentu iesniegšanu par 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palielināt dotāciju no vispārējiem ieņēmumiem Tieslietu ministrijas budžeta apakšprogrammā 03.02.00 "Apgabaltiesas un rajonu (pilsētu) tiesas" un preču un pakalpojumu izdevumus 2025. gadam un turpmākajiem gadiem par 344 920 euro, vienlaicīgi par šo summu samazinot ieņēmumus no maksas pakalpojumiem un citiem pašu ieņēmumiem un preču un pakalpojumu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iesniegt priekšlikumu Finanšu ministrijai samazināt ieņēmumus no maksas pakalpojumiem un citiem pašu ieņēmumiem un preču un pakalpojumu izdevumus 2025.gadā un turpmākajiem gadiem par 236 140 euro Tieslietu ministrijas budžeta apakšprogrammā 03.02.00 "Apgabaltiesas un rajonu (pilsētu) tiesas".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likumprojektu “Grozījumi Civilprocesa likumā” nav plānots virzīt budžeta pavadošo likumprojektu paketē un Ministru kabineta sēdes protokollēmuma 4.punkts paredz uzdevumu Finanšu ministrijai precizēt Tieslietu ministrijas ieņēmumus un izdevumus likumprojekta “Par valsts budžetu 2025. gadam un budžeta ietvaru 2025., 2026. un 2027. gadam"” sagatavošanas procesā, lūdzam precizēt Ministru kabineta sēdes protokollēmuma projekta 4.punktu, nosakot, ka tajā paredzētās izmaiņas Tieslietu ministrijai veicamas pēc likumprojekta “Grozījumi Civilprocesa likumā” pieņemšanas, vienlaikus vārdus “Par valsts budžetu 2025. gadam un budžeta ietvaru 2025., 2026. un 2027. gadam sagatavošanas procesā” aizstājot ar vārdiem “likumprojekta par valsts budžetu kārtējam gadam un vidēja termiņa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lietderības un efektivitātes apsvērumiem par valsts nodevu izmaiņām, t.sk. ekonomisko aprēķinu to apmēra noteikšanai, it sevišķi attiecībā uz minimālās nodevas apmēru (ņemot vērā to, ka tagad valsts nodevā, kuras mērķis ir atšķirīgs no tiesas izdevumu segšanas mērķa, ir ietverta daļa no tiesas izdevumiem) un arī maksimālo valsts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Vucēne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12.lpp. sadaļas </w:t>
            </w:r>
            <w:r w:rsidR="00000000" w:rsidRPr="00000000" w:rsidDel="00000000">
              <w:rPr>
                <w:i w:val="1"/>
                <w:rtl w:val="0"/>
              </w:rPr>
              <w:t xml:space="preserve">Problēmas apraksts </w:t>
            </w:r>
            <w:r w:rsidR="00000000" w:rsidRPr="00000000" w:rsidDel="00000000">
              <w:rPr>
                <w:rtl w:val="0"/>
              </w:rPr>
              <w:t xml:space="preserve">tekstu daļu "[..] CPL 43. panta pirmajā noteikt, ka [..]",  starp vārdiem "panta" un "pirmajā" to papildinot ar vārdu "daļā".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CPL 43. panta pirmajā daļā noteikt, 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4. punktu ar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grozot valsts nodevu summas, personai iesniedzot prasības pieteikumu tiesā, tiek veicināta personu piekļuve tiesai, līdz ar to turpmāk pieļaujot personu aktīvāku vēršanos tiesā ar prasību pieteikumiem tiesā, attiecīgi, iespējams, palielinoties tiesā iesniedzamo prasību pieteikumu skaitam, kas vienlaikus var radīt pozitīvu ietekmi uz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Jurševiča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"Par valsts budžetu 2025. gadam un budžeta ietvaru 2025., 2026. un 2027.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ministrijai iesniegt priekšlikumu Finanšu ministrijai palielināt pamatbudžetā iemaksājamās valsts nodevas prognozi 2025.gadam un turpmākajiem gadiem par 344 920  euro, tai skaitā palielinot nodevu par darbību veikšanu tiesu iestādēs par 284 920 euro un palielinot nodevu par izpildu dokumentu iesniegšanu par 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palielināt dotāciju no vispārējiem ieņēmumiem Tieslietu ministrijas budžeta apakšprogrammā 03.02.00 "Apgabaltiesas un rajonu (pilsētu) tiesas" un preču un pakalpojumu izdevumus 2025. gadam un turpmākajiem gadiem par 344 920 euro, vienlaicīgi par šo summu samazinot ieņēmumus no maksas pakalpojumiem un citiem pašu ieņēmumiem un preču un pakalpojumu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iesniegt priekšlikumu Finanšu ministrijai samazināt ieņēmumus no maksas pakalpojumiem un citiem pašu ieņēmumiem un preču un pakalpojumu izdevumus 2025.gadā un turpmākajiem gadiem par 236 140 euro Tieslietu ministrijas budžeta apakšprogrammā 03.02.00 "Apgabaltiesas un rajonu (pilsētu) tiesas".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4.punkta apakšpunktu numerāciju, norādot tos kā 4.punkta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05.07.2024.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05.07.2024.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Atzinumi_23-TA-2613.docx</dc:title>
</cp:coreProperties>
</file>

<file path=docProps/custom.xml><?xml version="1.0" encoding="utf-8"?>
<Properties xmlns="http://schemas.openxmlformats.org/officeDocument/2006/custom-properties" xmlns:vt="http://schemas.openxmlformats.org/officeDocument/2006/docPropsVTypes"/>
</file>