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ministrijai (turpmāk - EM) precizēt informāciju par investīcijas 1.kārtas nesadalīto finansējumu, ņemot vērā  "Par Latvijas Atveseļošanas un noturības mehānisma plāna trešo papildinājumu" (25 - TA - 2302) izziņas 1.punktā sniegto EM atbildi.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sniegto informāciju par projekta ietekmi uz valsts budžetu, sadaļas tabulā atspoguļojot 5.1.1.2.i. investīcijas “Atbalsta instruments pētniecībai un internacionalizācijai”  finansējuma samazinājumu 6 964 834 euro apmērā. Ievērojot, ka investīcijas īstenošanai ir paredzēts tikai Atveseļošanas fonda finansējums, attiecīgi jāaizpilda 1., 1.1., 2. un 2.1.punkts, svītrojot šobrīd 3., 3.1. un 5.punktā norādīto finansiālo ietekmi. Vienlaikus 6.punktā lūdzam iekļaut informāciju, kas pamato finansējuma samazinājumu, kā arī punktā “Cita informācija” norādīt konkrētās investīcijas, kurām finansējums tiek novirzīts.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instrumentu, iekārtu un to aprīkojuma nomas maksa atbilstoši Komisijas regulas Nr. </w:t>
            </w:r>
            <w:r w:rsidR="00000000" w:rsidRPr="00000000" w:rsidDel="00000000">
              <w:rPr>
                <w:rtl w:val="0"/>
              </w:rPr>
              <w:t xml:space="preserve">651/2014</w:t>
            </w:r>
            <w:r w:rsidR="00000000" w:rsidRPr="00000000" w:rsidDel="00000000">
              <w:rPr>
                <w:rtl w:val="0"/>
              </w:rPr>
              <w:t xml:space="preserve"> 25. panta 3. punkta "b" apakšpunktam, ciktāl to izmanto pētniecības vai tehniski ekonomiskās priekšizpētes darbībām, un nepārsniedzot tirgū noteikto cenu. Attiecināmā instrumentu, iekārtu un to aprīkojuma mēneša nomas maksa tiek pielīdzināta amortizācijas izmaksām, kādas tās būtu, ja instrumenti, iekārtas un to aprīkojums būtu atbalsta saņēmēja vai sadarbības partnera īpašumā. Izmaksām jāpiemēro tāda pati nolietojuma aprēķināšanas metode kā nomnieka īpašumā esošajiem pamatlīdzekļiem. Atbalsta saņēmējam un sadarbības partnerim jāiesniedz attiecīgie dokumenti, kas apliecina nomāto instrumentu, iekārtu un to aprīkojuma tirgus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uzraudzības birokrātisko slogu, kā arī atvieglotu finansējuma saņēmējiem izvirzītos papildus nosacījumus iekārtu nomām, lūgums izteikt Noteikumu projekta 43.6. apakšpunktu zemāk minētajā redakcijā. Papildus lūdzam anotācijā noteikt, ka nosacījumi ir attiecināmi retrospektīvi no projekta iesnieguma iesniegšanas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instrumentu, iekārtu un to aprīkojuma nomas maksa atbilstoši Komisijas regulas Nr. 651/2014 25. panta 3. punkta "b" apakšpunktam, ciktāl to izmanto rūpnieciskā pētījuma, eksperimentālās izstrādes vai tehniski ekonomiskās priekšizpētes darbībām un nepārsniedz tirgū noteikto cenu. Iekārtu nomas izmaksām Finansējuma saņēmējam un Sadarbības partnerim ir pienākums pamatot un pierādīt, ka ir ievērots saimnieciskā izdevīguma princips. Izmaksām ir jābūt pamatotām, noteiktām atbilstoši ekonomiskuma un efektivitātes principam.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63.9. ievērot interešu konflikta novēršanas principus saskaņā ar regulas 2024/2509 61. pantu, kā arī caurspīdīguma un vienlīdzības principus, vienlaikus novēršot korupciju, krāpšanu un dubulto finansējumu, ja nepieciešams, veicot atbilstošus korekcijas pasākumus. Pirms projekta uzsākšanas parakstīt šo noteikumu </w:t>
            </w:r>
            <w:r w:rsidR="00000000" w:rsidRPr="00000000" w:rsidDel="00000000">
              <w:rPr>
                <w:rtl w:val="0"/>
              </w:rPr>
              <w:t xml:space="preserve">2.</w:t>
            </w:r>
            <w:r w:rsidR="00000000" w:rsidRPr="00000000" w:rsidDel="00000000">
              <w:rPr>
                <w:rtl w:val="0"/>
              </w:rPr>
              <w:t xml:space="preserve"> pielikumā</w:t>
            </w:r>
            <w:r w:rsidR="00000000" w:rsidRPr="00000000" w:rsidDel="00000000">
              <w:rPr>
                <w:rtl w:val="0"/>
              </w:rPr>
              <w:t xml:space="preserve"> ietverto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svītrot Ministru kabineta 2024. gada 20. februāra noteikumu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(turpmāk - noteikumi Nr. 116) spēkā esošās redakcijas 63.9. apakšpunktā norādi uz tajā minētās regulas </w:t>
            </w:r>
            <w:r w:rsidR="00000000" w:rsidRPr="00000000" w:rsidDel="00000000">
              <w:rPr>
                <w:u w:val="single"/>
                <w:rtl w:val="0"/>
              </w:rPr>
              <w:t xml:space="preserve">61. pantu</w:t>
            </w:r>
            <w:r w:rsidR="00000000" w:rsidRPr="00000000" w:rsidDel="00000000">
              <w:rPr>
                <w:rtl w:val="0"/>
              </w:rPr>
              <w:t xml:space="preserve">, ņemot vērā konkrētā projekta veidu un to, ka Eiropas Parlamenta un Padomes 2024. gada 23. septembra Regulas (ES, Euratom) 2024/2509 par finanšu noteikumiem, ko piemēro Savienības vispārējam budžetam (pārstrādātā redakcija) (turpmāk - Regula 2024/2509) 61. panta prasības ir tieši piemērojamas tādiem projektiem, kas saistīti ar Eiropas Savienības fondu, tostarp Atveseļošanas un noturības mehānisma, atbalsta saņemšanu un vienlaikus kuros finansējuma saņēmējs atlases kārtībā projekta dalībniekiem vai gala saņēmējiem sniedz finansiālu atbalstu (t.s. </w:t>
            </w:r>
            <w:r w:rsidR="00000000" w:rsidRPr="00000000" w:rsidDel="00000000">
              <w:rPr>
                <w:u w:val="single"/>
                <w:rtl w:val="0"/>
              </w:rPr>
              <w:t xml:space="preserve">daudzpakāpju projekti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Aģentūra informāciju par atbalstu publicē atbilstoši Komisijas regulas Nr. </w:t>
            </w:r>
            <w:r w:rsidR="00000000" w:rsidRPr="00000000" w:rsidDel="00000000">
              <w:rPr>
                <w:rtl w:val="0"/>
              </w:rPr>
              <w:t xml:space="preserve">651/2014</w:t>
            </w:r>
            <w:r w:rsidR="00000000" w:rsidRPr="00000000" w:rsidDel="00000000">
              <w:rPr>
                <w:rtl w:val="0"/>
              </w:rPr>
              <w:t xml:space="preserve"> 9. panta 1. punkta "c" apakšpunktā un 4. punktā noteiktajām publicitātes pasākumu prasībām un atbilstoši normatīvajiem aktiem par kārtību, kādā publicē informāciju par sniegto komercdarbības atbalstu un piešķir un anulē elektroniskās sistēmas lietošanas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grozījumi Ministru kabineta 2016. gada 21. jūnija noteikumos Nr. 386 "Kārtība, kādā publicē informāciju par sniegto komercdarbības atbalstu un piešķir un anulē elektroniskās sistēmas lietošanas tiesības", ar kuru tika grozīts iepriekš minēto MK noteikumu nosaukums uz "Kārtība, kādā publicē informāciju par sniegto komercdarbības atbalstu", lūdzam atbilstoši precizēt noteikumu 83.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precizēts investīcijas ietvaros kopējā pieejamā Atveseļošanas un noturības mehānisma finansējuma apmērs, lūdzam atbilstoši precizēt arī noteikumu Nr. 116 1. pielikumā norādīto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25-TA-2020</w:t>
    </w:r>
    <w:r>
      <w:br/>
    </w:r>
    <w:r w:rsidR="00000000" w:rsidRPr="00000000" w:rsidDel="00000000">
      <w:rPr>
        <w:rtl w:val="0"/>
      </w:rPr>
      <w:t xml:space="preserve">Izdrukāts 23.10.2025. 20.52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25-TA-2020</w:t>
    </w:r>
    <w:r>
      <w:br/>
    </w:r>
    <w:r w:rsidR="00000000" w:rsidRPr="00000000" w:rsidDel="00000000">
      <w:rPr>
        <w:rtl w:val="0"/>
      </w:rPr>
      <w:t xml:space="preserve">Izdrukāts 23.10.2025. 20.52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Atzinumi_25-TA-2020.docx</dc:title>
</cp:coreProperties>
</file>

<file path=docProps/custom.xml><?xml version="1.0" encoding="utf-8"?>
<Properties xmlns="http://schemas.openxmlformats.org/officeDocument/2006/custom-properties" xmlns:vt="http://schemas.openxmlformats.org/officeDocument/2006/docPropsVTypes"/>
</file>