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941 "Noteikumi par ekodizaina prasībām ar enerģiju saistītām precēm (produktiem)"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apakšsadaļā “Problēmas apraksts” ietvertajā 1. un 4. punktā norādīts, ka nepieciešams svītrot pienākumus, kas atbilstoši spēkā esošajai MK noteikumu Nr. 941 redakcijai piešķirti “</w:t>
            </w:r>
            <w:r w:rsidR="00000000" w:rsidRPr="00000000" w:rsidDel="00000000">
              <w:rPr>
                <w:i w:val="1"/>
                <w:rtl w:val="0"/>
              </w:rPr>
              <w:t xml:space="preserve">Vides aizsardzības un reģionālās attīstības ministrijai (šobrīd nosaukums Viedās administrācijas un reģionālās attīstības ministrija)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2024. gada 7. jūnija rīkojuma Nr. 446 “Par Vides aizsardzības un reģionālās attīstības ministrijas un Klimata un enerģētikas ministrijas reorganizāciju” (turpmāk – rīkojums) 2. punktu Klimata un enerģētikas ministrija ar 2024. gada 1. jūliju pārņem no Vides aizsardzības un reģionālās attīstības ministrijas vides aizsardzības politikas jomu (izņemot dabas aizsardzības jomu) un saskaņā ar rīkojuma 3. punktu ar 2024. gada 1. jūliju Vides aizsardzības un reģionālās attīstības ministrijas nosaukums ir Viedās administrācijas un reģionālās attīstības ministrija. Pēc Vides aizsardzības un reģionālās attīstības ministrijas un Klimata un enerģētikas ministrijas reorganizācijas no MK noteikumiem Nr. 941 izrietošie pienākumi atbilstoši kompetencei pārgāja Klimata un enerģētikas ministrijas pārziņā, tāpēc faktiski Klimata un enerģētikas ministrija bija atbildīgā par pienākumu izpildi un norāde uz Viedās administrācijas un reģionālās attīstības ministriju nav korekta. Attiecīgi anotācijas formulējums būtu precizējams, lai korekti atspoguļotu reorganizācijas faktu un ministriju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sadaļas “Pamatojums” apakšsadaļā “Apraksts” norādīts, ka “2024. gada 18. jūnijā stājas spēkā Eiropas Parlamenta un Padomes 2024. gada 13. jūnija Regula (ES) 2024/1781 ar ko izveido satvaru ekodizaina prasību noteikšanai ilgtspējīgiem produktiem, groza Direktīvu (ES) 2020/1828 un Regulu (ES) 2023/1542 un atceļ Direktīvu 2009/125/EK”. Norādām, ka regula stājās spēkā 2024. gada 18. jūlijā, līdz ar to lūdzam precizēt regulas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ietverot saiti uz sabiedrības līdzdalības rezultātiem un norādot sabiedrības līdzdalības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24-TA-2966</w:t>
    </w:r>
    <w:r>
      <w:br/>
    </w:r>
    <w:r w:rsidR="00000000" w:rsidRPr="00000000" w:rsidDel="00000000">
      <w:rPr>
        <w:rtl w:val="0"/>
      </w:rPr>
      <w:t xml:space="preserve">Izdrukāts 05.12.2025.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24-TA-2966</w:t>
    </w:r>
    <w:r>
      <w:br/>
    </w:r>
    <w:r w:rsidR="00000000" w:rsidRPr="00000000" w:rsidDel="00000000">
      <w:rPr>
        <w:rtl w:val="0"/>
      </w:rPr>
      <w:t xml:space="preserve">Izdrukāts 05.12.2025.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Atzinumi_24-TA-2966.docx</dc:title>
</cp:coreProperties>
</file>

<file path=docProps/custom.xml><?xml version="1.0" encoding="utf-8"?>
<Properties xmlns="http://schemas.openxmlformats.org/officeDocument/2006/custom-properties" xmlns:vt="http://schemas.openxmlformats.org/officeDocument/2006/docPropsVTypes"/>
</file>