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Ministru kabineta noteikumu projekta "Grozījumi Ministru kabineta 2010. gada 30. novembra noteikumos Nr. 1080 "Transportlīdzekļu reģistrācijas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apakšsadaļu ar informāciju par projektā paredzētajā Ministru kabineta 2010. gada 30. novembra noteikumu Nr. 1080 "Transportlīdzekļu reģistrācijas noteikumi" (turpmāk – noteikumi) 93.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projektā nav paredzēts regulējums par ierobežotas pieejamības informācijas statusu informācijai par izsoles dalībniekiem,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apakšsadaļā ietverto informāciju atbilstoši projektā paredzētajā noteikumu 9.</w:t>
            </w:r>
            <w:r w:rsidR="00000000" w:rsidRPr="00000000" w:rsidDel="00000000">
              <w:rPr>
                <w:vertAlign w:val="superscript"/>
                <w:rtl w:val="0"/>
              </w:rPr>
              <w:t xml:space="preserve">17</w:t>
            </w:r>
            <w:r w:rsidR="00000000" w:rsidRPr="00000000" w:rsidDel="00000000">
              <w:rPr>
                <w:rtl w:val="0"/>
              </w:rPr>
              <w:t xml:space="preserve"> punktā ietvertajam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Pirms vispārējās izmantošanas mehānisko transportlīdzekļu, izņemot mopēdu, valsts reģistrācijas numuru iekļaušanas izvēlei un pasūtīšanai pieejamo numuru kopumā, numurus ar vienu vai diviem cipariem, vienādu ciparu simbolu kombināciju un tādu ciparu kombināciju, kuras pirmais cipars ir jebkurš cipars un visi atlikušie cipari ir "0" (nulle), var izvelēties publiskā izsolē ar augšupejošu soli. Izsoles organizēšanu nodrošina CSDD elektroniski uzturētajos CSDD e-pakalpojumos atbilstoši šiem noteikumiem un CSDD izsoles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projekts paredz papildināt noteikumus ar jaunu regulējumu, kas noteic </w:t>
            </w:r>
            <w:r w:rsidR="00000000" w:rsidRPr="00000000" w:rsidDel="00000000">
              <w:rPr>
                <w:u w:val="single"/>
                <w:rtl w:val="0"/>
              </w:rPr>
              <w:t xml:space="preserve">valsts akciju sabiedrības "Ceļu satiksmes drošības direkcija" (turpmāk – direkcija) tiesības organizēt valsts reģistrācijas numuru izvēles izsoli</w:t>
            </w:r>
            <w:r w:rsidR="00000000" w:rsidRPr="00000000" w:rsidDel="00000000">
              <w:rPr>
                <w:rtl w:val="0"/>
              </w:rPr>
              <w:t xml:space="preserve">, kas cita starpā ietver regulējumu par direkcijas tiesībām izdot izsoles noteikumus, regulējumu par valsts reģistrācijas numura izvēles izsoles sākumcenu, valsts reģistrācijas numura izvēles izsoles dalības maksu, valsts reģistrācijas numura izvēles izsoles soļa apmēru, regulējumu par to, kādos gadījumos netiek atmaksāta izsoles dalības maksa un nosolītā maksa, kā arī regulējumu, kas ierobežo privātpersonas tiesības noteiktu laika periodu piedalīties valsts reģistrācijas numuru izvēles izsolēs.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w:t>
            </w:r>
            <w:r w:rsidR="00000000" w:rsidRPr="00000000" w:rsidDel="00000000">
              <w:rPr>
                <w:u w:val="single"/>
                <w:rtl w:val="0"/>
              </w:rPr>
              <w:t xml:space="preserve"> no Ceļu satiksmes likuma 10. panta 1.</w:t>
            </w:r>
            <w:r w:rsidR="00000000" w:rsidRPr="00000000" w:rsidDel="00000000">
              <w:rPr>
                <w:u w:val="single"/>
                <w:vertAlign w:val="superscript"/>
                <w:rtl w:val="0"/>
              </w:rPr>
              <w:t xml:space="preserve">4</w:t>
            </w:r>
            <w:r w:rsidR="00000000" w:rsidRPr="00000000" w:rsidDel="00000000">
              <w:rPr>
                <w:u w:val="single"/>
                <w:rtl w:val="0"/>
              </w:rPr>
              <w:t xml:space="preserve"> daļā, 10.</w:t>
            </w:r>
            <w:r w:rsidR="00000000" w:rsidRPr="00000000" w:rsidDel="00000000">
              <w:rPr>
                <w:u w:val="single"/>
                <w:vertAlign w:val="superscript"/>
                <w:rtl w:val="0"/>
              </w:rPr>
              <w:t xml:space="preserve">2</w:t>
            </w:r>
            <w:r w:rsidR="00000000" w:rsidRPr="00000000" w:rsidDel="00000000">
              <w:rPr>
                <w:u w:val="single"/>
                <w:rtl w:val="0"/>
              </w:rPr>
              <w:t xml:space="preserve"> panta ceturtajā daļā un 21. panta otrajā daļā ietvertā pilnvarojuma Ministru kabinetam neizriet Ministru kabineta tiesības paredzēt šādu regulējumu noteikumos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Ministru kabinets ārējo normatīvo aktu var izdot tikai tādā gadījumā, ja likumdevējs likumā formulējis pilnvarojumu šāda akta izdošanai un noteicis pilnvarojuma robežas</w:t>
            </w:r>
            <w:r w:rsidR="00000000" w:rsidRPr="00000000" w:rsidDel="00000000">
              <w:rPr>
                <w:rtl w:val="0"/>
              </w:rPr>
              <w:t xml:space="preserve"> </w:t>
            </w:r>
            <w:r w:rsidR="00000000" w:rsidRPr="00000000" w:rsidDel="00000000">
              <w:rPr>
                <w:i w:val="1"/>
                <w:rtl w:val="0"/>
              </w:rPr>
              <w:t xml:space="preserve">(skat. Satversmes tiesas 2017. gada 29. jūnija sprieduma lietā Nr. 2016-23-03 16. punktu)</w:t>
            </w:r>
            <w:r w:rsidR="00000000" w:rsidRPr="00000000" w:rsidDel="00000000">
              <w:rPr>
                <w:rtl w:val="0"/>
              </w:rPr>
              <w:t xml:space="preserve">. Turklāt </w:t>
            </w:r>
            <w:r w:rsidR="00000000" w:rsidRPr="00000000" w:rsidDel="00000000">
              <w:rPr>
                <w:u w:val="single"/>
                <w:rtl w:val="0"/>
              </w:rPr>
              <w:t xml:space="preserve">Ministru kabineta noteikumu saturam jāatbilst likumdevēja noteiktajam pilnvarojumam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Jēdziens "kārtība" nozīmē norises īstenošanas veidu vai darbības organizāciju</w:t>
            </w:r>
            <w:r w:rsidR="00000000" w:rsidRPr="00000000" w:rsidDel="00000000">
              <w:rPr>
                <w:rtl w:val="0"/>
              </w:rPr>
              <w:t xml:space="preserve"> </w:t>
            </w:r>
            <w:r w:rsidR="00000000" w:rsidRPr="00000000" w:rsidDel="00000000">
              <w:rPr>
                <w:i w:val="1"/>
                <w:rtl w:val="0"/>
              </w:rPr>
              <w:t xml:space="preserve">(skat., piemēram, Satversmes tiesas 2012. gada 2. maija sprieduma lietā Nr. 2011-17-03 13.3. apakšpunktu)</w:t>
            </w:r>
            <w:r w:rsidR="00000000" w:rsidRPr="00000000" w:rsidDel="00000000">
              <w:rPr>
                <w:rtl w:val="0"/>
              </w:rPr>
              <w:t xml:space="preserve">. </w:t>
            </w:r>
            <w:r w:rsidR="00000000" w:rsidRPr="00000000" w:rsidDel="00000000">
              <w:rPr>
                <w:u w:val="single"/>
                <w:rtl w:val="0"/>
              </w:rPr>
              <w:t xml:space="preserve">Atsevišķos gadījumos Ministru kabineta noteikumu saturu var veidot arī materiālās normas, taču tām jābūt pieņemtām, pamatojoties uz nepārprotamu likumdevēja pilnvarojumu</w:t>
            </w:r>
            <w:r w:rsidR="00000000" w:rsidRPr="00000000" w:rsidDel="00000000">
              <w:rPr>
                <w:rtl w:val="0"/>
              </w:rPr>
              <w:t xml:space="preserve"> </w:t>
            </w:r>
            <w:r w:rsidR="00000000" w:rsidRPr="00000000" w:rsidDel="00000000">
              <w:rPr>
                <w:i w:val="1"/>
                <w:rtl w:val="0"/>
              </w:rPr>
              <w:t xml:space="preserve">(skat., piemēram, Satversmes tiesas 2018. gada 18. oktobra sprieduma lietā Nr. 2017-33-03 14.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vēršam uzmanību uz to, ka Valsts iestāžu juridisko dienestu vadītāju 2020. gada 22. oktobra sanāksmes protokola Nr. 2 1. § 2.1. apakšpunktā ir norādīts, ka, </w:t>
            </w:r>
            <w:r w:rsidR="00000000" w:rsidRPr="00000000" w:rsidDel="00000000">
              <w:rPr>
                <w:u w:val="single"/>
                <w:rtl w:val="0"/>
              </w:rPr>
              <w:t xml:space="preserve">izstrādājot jaunu pilnvarojumu, savlaicīgi izsvērt nākotnes regulējuma saturu un gadījumā, ja uz pilnvarojuma pamata būs jāizdod arī materiāla rakstura tiesību normas, – izvairīties pilnvarojumā lietot vārdu "kārtība" vai papildināt pilnvarojumu ar vārdiem atbilstoši pilnvarojuma mērķim (piemēram, "Ministru kabinets nosaka kārtību un kritērijus [..]", lai neradītu šaubas par pilnvarojuma apjomu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iestāžu juridisko dienestu vadītāju 2020. gada 22. oktobra sanāksmes protokola Nr. 2 1. § 2.2. apakšpunktam </w:t>
            </w:r>
            <w:r w:rsidR="00000000" w:rsidRPr="00000000" w:rsidDel="00000000">
              <w:rPr>
                <w:u w:val="single"/>
                <w:rtl w:val="0"/>
              </w:rPr>
              <w:t xml:space="preserve">pilnvarojošā norma – "noteikt kārtību" – neizslēdz Ministru kabinetam tiesības pieņemt materiāla rakstura normas, ja tās atbilst likuma mērķim un citiem Latvijas Republikas Satversmes un demokrātiskas valsts pamatprincipiem un neveido jaunas, pilnvarojumā neparedzētas tiesiskās attiecības. Vienlaicīgi nepieciešams gūt pārliecību (no tiesību akta anotācijas, Latvijas Republikas Saeimas sēžu stenogrammas, Latvijas Republikas Saeimas komisiju protokoliem, priekšlikumu vēstulēm vai citiem materiāliem), ka likumdevējs, pilnvarojot Ministru kabinetu "noteikt kārtību", ir vēlējies uzdot izstrādāt ne tikai procesuāla rakstura normas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atkārtoti vēršam uzmanību uz to, ka, </w:t>
            </w:r>
            <w:r w:rsidR="00000000" w:rsidRPr="00000000" w:rsidDel="00000000">
              <w:rPr>
                <w:b w:val="1"/>
                <w:u w:val="single"/>
                <w:rtl w:val="0"/>
              </w:rPr>
              <w:t xml:space="preserve">sniedzot maksas pakalpojumu, t.i., reģistrējot transportlīdzekļus, piešķirot un izsniedzot valsts reģistrācijas numurus, direkcija sniedz maksas pakalpojumus deleģētā valsts pārvaldes uzdevuma ietvaros. Līdz ar to piemērojamas publisko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likumā "Par budžetu un finanšu vadību" paredzētajam termina </w:t>
            </w:r>
            <w:r w:rsidR="00000000" w:rsidRPr="00000000" w:rsidDel="00000000">
              <w:rPr>
                <w:u w:val="single"/>
                <w:rtl w:val="0"/>
              </w:rPr>
              <w:t xml:space="preserve">"maksas pakalpojums" skaidrojumam tas ir pasākumu kopums, ko valsts budžeta iestāde ārējos normatīvajos aktos paredzētajos gadījumos veic par samaksu, lai nodrošinātu sabiedrības vajadzību ievērošanu</w:t>
            </w:r>
            <w:r w:rsidR="00000000" w:rsidRPr="00000000" w:rsidDel="00000000">
              <w:rPr>
                <w:rtl w:val="0"/>
              </w:rPr>
              <w:t xml:space="preserve">. Savukārt Ministru kabineta 2011. gada 3. maija noteikumi Nr. 333 "Kārtība, kādā plānojami un uzskaitāmi ieņēmumi no maksas pakalpojumiem un ar šo pakalpojumu sniegšanu saistītie izdevumi, kā arī maksas pakalpojumu izcenojumu noteikšanas metodika un izcenojumu apstiprināšanas kārtība" paredz </w:t>
            </w:r>
            <w:r w:rsidR="00000000" w:rsidRPr="00000000" w:rsidDel="00000000">
              <w:rPr>
                <w:u w:val="single"/>
                <w:rtl w:val="0"/>
              </w:rPr>
              <w:t xml:space="preserve">maksas pakalpojumu izcenojumu noteikšanas metodiku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w:t>
            </w:r>
            <w:r w:rsidR="00000000" w:rsidRPr="00000000" w:rsidDel="00000000">
              <w:rPr>
                <w:b w:val="1"/>
                <w:u w:val="single"/>
                <w:rtl w:val="0"/>
              </w:rPr>
              <w:t xml:space="preserve">Ceļu satiksmes likumā nav attiecīga pilnvarojuma, lai noteiktu, ka valsts pārvaldes uzdevuma ietvaros sniegtā maksas pakalpojuma apmēru var noteikt, rīkojot izsoli. Līdz ar to publisko tiesību jomas normatīvajos aktos nav paredzēts, ka valsts pārvaldes uzdevuma ietvaros sniegtos maksas pakalpojumus varētu sniegt izsoles veidā, t.sk., noteikt valsts reģistrācijas numura izvēles izsoles sākumcenu, valsts reģistrācijas numura izvēles izsoles dalības maksu un valsts reģistrācijas numura izvēles izsoles soļa apmēru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17</w:t>
            </w:r>
            <w:r w:rsidR="00000000" w:rsidRPr="00000000" w:rsidDel="00000000">
              <w:rPr>
                <w:rtl w:val="0"/>
              </w:rPr>
              <w:t xml:space="preserve"> Izsoles rezultātus pēc izsoles noslēguma dienas kā CSDD izsoles komisijas faktisko rīcību var apstrīdēt Satiksmes ministrijā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3. panta trešā daļa noteic, ka šā </w:t>
            </w:r>
            <w:r w:rsidR="00000000" w:rsidRPr="00000000" w:rsidDel="00000000">
              <w:rPr>
                <w:u w:val="single"/>
                <w:rtl w:val="0"/>
              </w:rPr>
              <w:t xml:space="preserve">likuma noteikumi, kas attiecas uz administratīvo aktu, ir attiecināmi arī uz faktisko rīcību</w:t>
            </w:r>
            <w:r w:rsidR="00000000" w:rsidRPr="00000000" w:rsidDel="00000000">
              <w:rPr>
                <w:rtl w:val="0"/>
              </w:rPr>
              <w:t xml:space="preserve"> un publisko tiesību līgumu tiktāl, ciktāl tas nav pretrunā ar šo administratīvā procesa institūtu būtību vai ciktāl citas tiesību normas nenosaka citādi. Ievērojot minēto, kā arī to, ka </w:t>
            </w:r>
            <w:r w:rsidR="00000000" w:rsidRPr="00000000" w:rsidDel="00000000">
              <w:rPr>
                <w:u w:val="single"/>
                <w:rtl w:val="0"/>
              </w:rPr>
              <w:t xml:space="preserve">attiecīgo lēmumu var arī pārsūdzēt tiesā</w:t>
            </w:r>
            <w:r w:rsidR="00000000" w:rsidRPr="00000000" w:rsidDel="00000000">
              <w:rPr>
                <w:rtl w:val="0"/>
              </w:rPr>
              <w:t xml:space="preserve">, lūdzam precizēt projektā paredzētajā noteikumu 9.</w:t>
            </w:r>
            <w:r w:rsidR="00000000" w:rsidRPr="00000000" w:rsidDel="00000000">
              <w:rPr>
                <w:vertAlign w:val="superscript"/>
                <w:rtl w:val="0"/>
              </w:rPr>
              <w:t xml:space="preserve">17</w:t>
            </w:r>
            <w:r w:rsidR="00000000" w:rsidRPr="00000000" w:rsidDel="00000000">
              <w:rPr>
                <w:rtl w:val="0"/>
              </w:rPr>
              <w:t xml:space="preserve"> punktā ietverto regulējumu (proti, norādīt, ka Satiksmes ministrijas pieņemto lēmumu var arī pārsūdzēt tiesā).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r w:rsidR="00000000" w:rsidRPr="00000000" w:rsidDel="00000000">
              <w:rPr>
                <w:vertAlign w:val="superscript"/>
                <w:rtl w:val="0"/>
              </w:rPr>
              <w:t xml:space="preserve">1</w:t>
            </w:r>
            <w:r w:rsidR="00000000" w:rsidRPr="00000000" w:rsidDel="00000000">
              <w:rPr>
                <w:rtl w:val="0"/>
              </w:rPr>
              <w:t xml:space="preserve"> Par velosipēda vai velorikšas reģistrāciju CSDD izsniedz velosipēda vai velorikšas reģistrācijas uzlīmi.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Ceļu satiksmes likuma 10.</w:t>
            </w:r>
            <w:r w:rsidR="00000000" w:rsidRPr="00000000" w:rsidDel="00000000">
              <w:rPr>
                <w:vertAlign w:val="superscript"/>
                <w:rtl w:val="0"/>
              </w:rPr>
              <w:t xml:space="preserve">2</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noteic, ka </w:t>
            </w:r>
            <w:r w:rsidR="00000000" w:rsidRPr="00000000" w:rsidDel="00000000">
              <w:rPr>
                <w:u w:val="single"/>
                <w:rtl w:val="0"/>
              </w:rPr>
              <w:t xml:space="preserve">elektroskrejriteņu un velorikšu reģistrācija ir obligāta, un ceļu satiksmē atļauts piedalīties tikai ar reģistrētiem elektroskrejriteņiem un velorikšām</w:t>
            </w:r>
            <w:r w:rsidR="00000000" w:rsidRPr="00000000" w:rsidDel="00000000">
              <w:rPr>
                <w:rtl w:val="0"/>
              </w:rPr>
              <w:t xml:space="preserve">. Savukārt Ceļu satiksmes likuma 10.</w:t>
            </w:r>
            <w:r w:rsidR="00000000" w:rsidRPr="00000000" w:rsidDel="00000000">
              <w:rPr>
                <w:vertAlign w:val="superscript"/>
                <w:rtl w:val="0"/>
              </w:rPr>
              <w:t xml:space="preserve">2</w:t>
            </w:r>
            <w:r w:rsidR="00000000" w:rsidRPr="00000000" w:rsidDel="00000000">
              <w:rPr>
                <w:rtl w:val="0"/>
              </w:rPr>
              <w:t xml:space="preserve"> panta piektā daļa noteic, ka </w:t>
            </w:r>
            <w:r w:rsidR="00000000" w:rsidRPr="00000000" w:rsidDel="00000000">
              <w:rPr>
                <w:u w:val="single"/>
                <w:rtl w:val="0"/>
              </w:rPr>
              <w:t xml:space="preserve">elektroskrejriteņiem un velorikšām pie to konstrukcijas ir pielīmēta viena valsts reģistrācijas uzlīme</w:t>
            </w:r>
            <w:r w:rsidR="00000000" w:rsidRPr="00000000" w:rsidDel="00000000">
              <w:rPr>
                <w:rtl w:val="0"/>
              </w:rPr>
              <w:t xml:space="preserve">. Projektā paredzētajā noteikumu 10. pielikumā </w:t>
            </w:r>
            <w:r w:rsidR="00000000" w:rsidRPr="00000000" w:rsidDel="00000000">
              <w:rPr>
                <w:u w:val="single"/>
                <w:rtl w:val="0"/>
              </w:rPr>
              <w:t xml:space="preserve">ir noteikts elektroskrejriteņa reģistrācijas uzlīmes paraugs</w:t>
            </w:r>
            <w:r w:rsidR="00000000" w:rsidRPr="00000000" w:rsidDel="00000000">
              <w:rPr>
                <w:rtl w:val="0"/>
              </w:rPr>
              <w:t xml:space="preserve">, bet </w:t>
            </w:r>
            <w:r w:rsidR="00000000" w:rsidRPr="00000000" w:rsidDel="00000000">
              <w:rPr>
                <w:u w:val="single"/>
                <w:rtl w:val="0"/>
              </w:rPr>
              <w:t xml:space="preserve">nav noteikts velorikšu reģistrācijas uzlīmes paraugs</w:t>
            </w:r>
            <w:r w:rsidR="00000000" w:rsidRPr="00000000" w:rsidDel="00000000">
              <w:rPr>
                <w:rtl w:val="0"/>
              </w:rPr>
              <w:t xml:space="preserve">. Papildus vēršam uzmanību uz to, ka projektā paredzētais noteikumu 85.</w:t>
            </w:r>
            <w:r w:rsidR="00000000" w:rsidRPr="00000000" w:rsidDel="00000000">
              <w:rPr>
                <w:vertAlign w:val="superscript"/>
                <w:rtl w:val="0"/>
              </w:rPr>
              <w:t xml:space="preserve">1</w:t>
            </w:r>
            <w:r w:rsidR="00000000" w:rsidRPr="00000000" w:rsidDel="00000000">
              <w:rPr>
                <w:rtl w:val="0"/>
              </w:rPr>
              <w:t xml:space="preserve"> punkts noteic, ka </w:t>
            </w:r>
            <w:r w:rsidR="00000000" w:rsidRPr="00000000" w:rsidDel="00000000">
              <w:rPr>
                <w:u w:val="single"/>
                <w:rtl w:val="0"/>
              </w:rPr>
              <w:t xml:space="preserve">par velosipēda vai velorikšas reģistrāciju direkcija izsniedz velosipēda vai velorikšas reģistrācijas uzlīmi</w:t>
            </w:r>
            <w:r w:rsidR="00000000" w:rsidRPr="00000000" w:rsidDel="00000000">
              <w:rPr>
                <w:rtl w:val="0"/>
              </w:rPr>
              <w:t xml:space="preserve">, bet nav skaidrs, kur ir noteikts attiecīgās uzlīmes paraugs.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attiecīgi papildināt projektu vai anotācijā ietvert skaidrojumu, kādēļ nav nepieciešams noteikt attiecīgo uzlīmju paraugus.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Grozījumi šo noteikumu XV nodaļas nosaukumā, 81.1., 83.1.2., 83.2. apakšpunktos, 85.punktā un XV1. nodaļa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papildināts ar jauniem grozījumiem noteikumos, kuriem arī jāstājas spēkā 2024. gada 1. janvārī, lūdzam precizēt projektā paredzētajā noteikumu 92. punktā ietverto regulējumu un anotācijas 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2022. gada 13. septembra noteikumi Nr. 569 "Grozījums Ministru kabineta 2013. gada 24. septembra noteikumos Nr. 1000 "Valsts akciju sabiedrības "Ceļu satiksmes drošības direkcija" publisko maksas pakalpojumu cenrādis"", kas cita starpā paredzēja vienādu maksu par attiecīgā dokumenta izsniegšanu neatkarīgi no tā, vai tas izsniegts nozaudēšanas vai citu apstākļu dēļ, stājās spēkā </w:t>
            </w:r>
            <w:r w:rsidR="00000000" w:rsidRPr="00000000" w:rsidDel="00000000">
              <w:rPr>
                <w:u w:val="single"/>
                <w:rtl w:val="0"/>
              </w:rPr>
              <w:t xml:space="preserve">2022. gada 16. septembrī</w:t>
            </w:r>
            <w:r w:rsidR="00000000" w:rsidRPr="00000000" w:rsidDel="00000000">
              <w:rPr>
                <w:rtl w:val="0"/>
              </w:rPr>
              <w:t xml:space="preserve">, atkārtoti lūdzam anotācijas 1.3. apakšsadaļā norādīt korektu datumu, līdz kuram bija nepieciešama informācija par transportlīdzekļa reģistrācijas dokumenta zādzības faktu vai reģistrācijas dokumenta bojāeju nepārvaramas varas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noteikumos nav 103. punkta un Ceļu satiksmes likumā nav 141. panta, atkārtoti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paredzētajā noteikumu 9.</w:t>
            </w:r>
            <w:r w:rsidR="00000000" w:rsidRPr="00000000" w:rsidDel="00000000">
              <w:rPr>
                <w:vertAlign w:val="superscript"/>
                <w:rtl w:val="0"/>
              </w:rPr>
              <w:t xml:space="preserve">7</w:t>
            </w:r>
            <w:r w:rsidR="00000000" w:rsidRPr="00000000" w:rsidDel="00000000">
              <w:rPr>
                <w:rtl w:val="0"/>
              </w:rPr>
              <w:t xml:space="preserve"> punktā nav ietverts regulējums par to, kādos gadījumos netiek atmaksāta izsoles dalības maksa, un projektā paredzētajā noteikumu 9.</w:t>
            </w:r>
            <w:r w:rsidR="00000000" w:rsidRPr="00000000" w:rsidDel="00000000">
              <w:rPr>
                <w:vertAlign w:val="superscript"/>
                <w:rtl w:val="0"/>
              </w:rPr>
              <w:t xml:space="preserve">16</w:t>
            </w:r>
            <w:r w:rsidR="00000000" w:rsidRPr="00000000" w:rsidDel="00000000">
              <w:rPr>
                <w:rtl w:val="0"/>
              </w:rPr>
              <w:t xml:space="preserve"> punktā nav ietverts regulējums par to, kādos gadījumos netiek atmaksāta nosolītā maksa, atkārtoti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30. punkts neparedz grozījumu noteikumu 71.2. apakšpunktā,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6.3. apakšsadaļā ietverto informāciju, norādot korektas atsauces uz attiecīgajām projekta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velosipēdu, velorikšu un elektroskrejriteņu reģistrācijas un reģistrācijas anulēšanas kārtību CSDD.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normatīvā akta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paredzēto noteikumu 1.4. apakšpunktu atbilstoši Ceļu satiksmes likuma 10.</w:t>
            </w:r>
            <w:r w:rsidR="00000000" w:rsidRPr="00000000" w:rsidDel="00000000">
              <w:rPr>
                <w:vertAlign w:val="superscript"/>
                <w:rtl w:val="0"/>
              </w:rPr>
              <w:t xml:space="preserve">2</w:t>
            </w:r>
            <w:r w:rsidR="00000000" w:rsidRPr="00000000" w:rsidDel="00000000">
              <w:rPr>
                <w:rtl w:val="0"/>
              </w:rPr>
              <w:t xml:space="preserve"> panta ceturtajā daļā, kas stāsies spēkā 2024. gada 1. janvārī,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3</w:t>
            </w:r>
            <w:r w:rsidR="00000000" w:rsidRPr="00000000" w:rsidDel="00000000">
              <w:rPr>
                <w:rtl w:val="0"/>
              </w:rPr>
              <w:t xml:space="preserve">1. kurai saskaņā ar normatīvajiem aktiem par patērētāju tiesību aizsardzību ir tiesības sniegt patērētājam kreditēšanas pakalpojumu un kura, pamatojoties uz sadarbības līgumu ar CSDD par atzīmju izdarīšanu transportlīdzekļu reģistrā, ir sniegusi informāciju par veicamo reģistrācijas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anotācijas 1.3. apakšsadaļā ir norādīts, ka projektā minētais </w:t>
            </w:r>
            <w:r w:rsidR="00000000" w:rsidRPr="00000000" w:rsidDel="00000000">
              <w:rPr>
                <w:u w:val="single"/>
                <w:rtl w:val="0"/>
              </w:rPr>
              <w:t xml:space="preserve">sadarbības līgums nav sadarbības līgums Valsts pārvaldes iekārtas likuma 61. panta pirmās daļas izpratnē, bet gan pušu vienošanās par savstarpējo rīcību noteiktā tiesiskā un faktiskā situācijā</w:t>
            </w:r>
            <w:r w:rsidR="00000000" w:rsidRPr="00000000" w:rsidDel="00000000">
              <w:rPr>
                <w:rtl w:val="0"/>
              </w:rPr>
              <w:t xml:space="preserve">, lūdzam precizēt projektā paredzētajā noteikumu 18.</w:t>
            </w:r>
            <w:r w:rsidR="00000000" w:rsidRPr="00000000" w:rsidDel="00000000">
              <w:rPr>
                <w:vertAlign w:val="superscript"/>
                <w:rtl w:val="0"/>
              </w:rPr>
              <w:t xml:space="preserve">3</w:t>
            </w:r>
            <w:r w:rsidR="00000000" w:rsidRPr="00000000" w:rsidDel="00000000">
              <w:rPr>
                <w:rtl w:val="0"/>
              </w:rPr>
              <w:t xml:space="preserve">1. apakšpunktā, 85.</w:t>
            </w:r>
            <w:r w:rsidR="00000000" w:rsidRPr="00000000" w:rsidDel="00000000">
              <w:rPr>
                <w:vertAlign w:val="superscript"/>
                <w:rtl w:val="0"/>
              </w:rPr>
              <w:t xml:space="preserve">5</w:t>
            </w:r>
            <w:r w:rsidR="00000000" w:rsidRPr="00000000" w:rsidDel="00000000">
              <w:rPr>
                <w:rtl w:val="0"/>
              </w:rPr>
              <w:t xml:space="preserve"> punktā un 85.</w:t>
            </w:r>
            <w:r w:rsidR="00000000" w:rsidRPr="00000000" w:rsidDel="00000000">
              <w:rPr>
                <w:vertAlign w:val="superscript"/>
                <w:rtl w:val="0"/>
              </w:rPr>
              <w:t xml:space="preserve">8</w:t>
            </w:r>
            <w:r w:rsidR="00000000" w:rsidRPr="00000000" w:rsidDel="00000000">
              <w:rPr>
                <w:rtl w:val="0"/>
              </w:rPr>
              <w:t xml:space="preserve">3. apakšpunktā, kā arī noteikumu 18.</w:t>
            </w:r>
            <w:r w:rsidR="00000000" w:rsidRPr="00000000" w:rsidDel="00000000">
              <w:rPr>
                <w:vertAlign w:val="superscript"/>
                <w:rtl w:val="0"/>
              </w:rPr>
              <w:t xml:space="preserve">3</w:t>
            </w:r>
            <w:r w:rsidR="00000000" w:rsidRPr="00000000" w:rsidDel="00000000">
              <w:rPr>
                <w:rtl w:val="0"/>
              </w:rPr>
              <w:t xml:space="preserve"> punktā, 19.6. apakšpunktā, 30. un 47. punktā minēto terminu "</w:t>
            </w:r>
            <w:r w:rsidR="00000000" w:rsidRPr="00000000" w:rsidDel="00000000">
              <w:rPr>
                <w:u w:val="single"/>
                <w:rtl w:val="0"/>
              </w:rPr>
              <w:t xml:space="preserve">sadarbības līgums</w:t>
            </w:r>
            <w:r w:rsidR="00000000" w:rsidRPr="00000000" w:rsidDel="00000000">
              <w:rPr>
                <w:rtl w:val="0"/>
              </w:rPr>
              <w:t xml:space="preserve">", nepieciešamības gadījumā paredzot attiecīgu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Šo noteikumu 9.1  līdz 9.17 apakšpunkts stājas spēkā 2024.gada 1.martā.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nav noteikumu 9.1., 9.2., 9.3., 94., 9.5., 9.6., 9.7., 9.8., 9.9., 9.10., 9.11., 9.12, 9.13., 9.14., 9.15., 9.16. un 9.17. apakšpunkta, lūdzam precizēt projektā paredzētajā noteikumu 93. punktā ietverto regulējumu un anotācijas 1.3. un 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23-TA-1675</w:t>
    </w:r>
    <w:r>
      <w:br/>
    </w:r>
    <w:r w:rsidR="00000000" w:rsidRPr="00000000" w:rsidDel="00000000">
      <w:rPr>
        <w:rtl w:val="0"/>
      </w:rPr>
      <w:t xml:space="preserve">Izdrukāts 04.12.2023. 13.07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23-TA-1675</w:t>
    </w:r>
    <w:r>
      <w:br/>
    </w:r>
    <w:r w:rsidR="00000000" w:rsidRPr="00000000" w:rsidDel="00000000">
      <w:rPr>
        <w:rtl w:val="0"/>
      </w:rPr>
      <w:t xml:space="preserve">Izdrukāts 04.12.2023. 13.07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Atzinumi_23-TA-1675.docx</dc:title>
</cp:coreProperties>
</file>

<file path=docProps/custom.xml><?xml version="1.0" encoding="utf-8"?>
<Properties xmlns="http://schemas.openxmlformats.org/officeDocument/2006/custom-properties" xmlns:vt="http://schemas.openxmlformats.org/officeDocument/2006/docPropsVTypes"/>
</file>