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nodrošina prioritāru publisku pakalpojumu sniegšanu komersantiem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kopējais ieguldījumu apjoms ir vismaz 5 000 000 </w:t>
            </w:r>
            <w:r w:rsidR="00000000" w:rsidRPr="00000000" w:rsidDel="00000000">
              <w:rPr>
                <w:i w:val="1"/>
                <w:rtl w:val="0"/>
              </w:rPr>
              <w:t xml:space="preserve">euro</w:t>
            </w:r>
            <w:r w:rsidR="00000000" w:rsidRPr="00000000" w:rsidDel="00000000">
              <w:rPr>
                <w:rtl w:val="0"/>
              </w:rPr>
              <w:t xml:space="preserve"> (Rīgas valstspilsētas pašvaldības administratīvajā teritorijā – vismaz 10 000 000 </w:t>
            </w:r>
            <w:r w:rsidR="00000000" w:rsidRPr="00000000" w:rsidDel="00000000">
              <w:rPr>
                <w:i w:val="1"/>
                <w:rtl w:val="0"/>
              </w:rPr>
              <w:t xml:space="preserve">euro</w:t>
            </w:r>
            <w:r w:rsidR="00000000" w:rsidRPr="00000000" w:rsidDel="00000000">
              <w:rPr>
                <w:rtl w:val="0"/>
              </w:rPr>
              <w:t xml:space="preserve">), un tas tiek veikts, lai nodrošinātu komercdarbību vismaz vienā no Inovatīvas uzņēmējdarbības un prioritāro projektu atbalsta likuma 3. panta pirmajā daļā noteiktajām prioritāro projektu jomām (turpmāk – prioritāro projektu jomas);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Iesniedzam iebildumu par Ministru kabineta noteikumu 4.3.1. punktā noteikto prasību attiecībā uz pieejamā finansējuma apjomu prioritāro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noteikumos paredzēts, ka komersantam ir jābūt pieejamam finansējumam vismaz 5 000 000 euro apmērā (Rīgas valstspilsētas administratīvajā teritorijā – vismaz 10 000 000 euro). Tomēr šī prasība nav pietiekami atbilstoša nozares vajadzībām, īpaši enerģētikas sektorā, kur visi projekti ir resursietilpīgi un to īstenošana prasa ievērojamus finanšu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prioritāro projektu statuss tiek piešķirts tikai reāli īstenojamiem projektiem, kuriem ir pietiekams finansiālais nodrošinājums, nepieciešams noteikt, ka komersantam jābūt pieejamam finansējumam visa plānotā investīciju apjoma segšanai, nevis tikai 5 000 000 euro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prasība, kas paredz tikai formālu finanšu pieejamības vērtējumu, būtiski un nepamatoti noslogo valsts iestāžu resursus, novirzot administratīvos un ekspertu resursus projektu vērtēšanai, kas nav finansiāli nodrošināti. Tas rada nevienlīdzīgu situāciju, jo tiek patērēti publiskie resursi uz nepietiekami sagatavotu projektu rēķina, kamēr citi, pilnībā finansiāli nodrošināti projekti var saskarties ar vērtēšanas kavēšanos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Gunārs Valdmanis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Inovatīvas uzņēmējdarbības un prioritāro projektu atbalsta likuma 3.panta ceturtās daļas 5. punktam Ministru kabinetam jānosaka valsts pārvaldes uzdevumu ietvaros sniedzamo publisko pakalpojumu sarakstu. Noteikumu projekta pielikums ir ietvertas tikai norāde uz normatīvo aktu, kas regulē attiecīgā pakalpojuma sniegšanu, līdz ar  to pielikumu nepieciešams papildināt ar attiecīgā pakalpojuma nosaukumu, nodrošinot noteikumu projekta skaidrību un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pielikuma 1.7. punkta 1.7.3. apakšpunkts (Likuma "Par ietekmes uz vidi novērtējumu" 20.</w:t>
            </w:r>
            <w:r w:rsidR="00000000" w:rsidRPr="00000000" w:rsidDel="00000000">
              <w:rPr>
                <w:vertAlign w:val="superscript"/>
                <w:rtl w:val="0"/>
              </w:rPr>
              <w:t xml:space="preserve">1</w:t>
            </w:r>
            <w:r w:rsidR="00000000" w:rsidRPr="00000000" w:rsidDel="00000000">
              <w:rPr>
                <w:rtl w:val="0"/>
              </w:rPr>
              <w:t xml:space="preserve"> pants) attiecas uz pārrobežu ietekmēm, kurām </w:t>
            </w:r>
            <w:r w:rsidR="00000000" w:rsidRPr="00000000" w:rsidDel="00000000">
              <w:rPr>
                <w:rtl w:val="0"/>
              </w:rPr>
              <w:t xml:space="preserve">nevar tikt samazināti procesuālie termiņi, jo tie ir saistīti ar ietekmēto un ietekmējošo valstu normatīvajos aktos noteiktajiem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Kramzaka (EVA)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Anotāciju nepieciešams papildināt ar skaidrojumu, kā tika noteikts valsts pārvaldes uzdevumu ietvaros sniedzamo publisko pakalpojumu saraksts prioritāriem projektiem. Piemēram, kāpēc attiecībā uz enerģētiku ir nepieciešama tiešo līniju ierīkošana gan dabasgāzes apgādā, gan elektroapgādē prioritārā kārtībā un termiņā, ievērojot, ka šādas līnijas netiek bieži ierīkotas vai  kāpēc noteikumu pielikuma 1.11.2. apakšpunktā minēta Elektroenerģijas tirgus likuma 26.</w:t>
            </w:r>
            <w:r w:rsidR="00000000" w:rsidRPr="00000000" w:rsidDel="00000000">
              <w:rPr>
                <w:vertAlign w:val="superscript"/>
                <w:rtl w:val="0"/>
              </w:rPr>
              <w:t xml:space="preserve">1</w:t>
            </w:r>
            <w:r w:rsidR="00000000" w:rsidRPr="00000000" w:rsidDel="00000000">
              <w:rPr>
                <w:rtl w:val="0"/>
              </w:rPr>
              <w:t xml:space="preserve"> panta sestā daļa kā  norma, kas regulē attiecīgā pakalpojuma sniegšanu - minētā norma noteic, ja regulators mēneša laikā no reģistrācijas paziņojuma saņemšanas dienas nav rakstveidā informējis reģistrācijas paziņojuma iesniedzēju par atteikumu to reģistrēt, uzskatāms, ka elektroenerģijas ražotājs ir reģistrēts.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ierosina veikt redakcionālu pareizrakstības labojumu sekojošajā teikumā anotācijas sadaļā "1.3. Pašreizējā situācija, problēmas un risinājumi" sekojošajā teikumā: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projekti RIS3 sektorā informācijas un kumunikācijas tehnoloģija;"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projekti RIS3 sektorā informācijas un komunikācijas tehnoloģija;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Gunārs Valdmanis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17.02.2025. 17.46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17.02.2025. 17.46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Atzinumi_24-TA-767.docx</dc:title>
</cp:coreProperties>
</file>

<file path=docProps/custom.xml><?xml version="1.0" encoding="utf-8"?>
<Properties xmlns="http://schemas.openxmlformats.org/officeDocument/2006/custom-properties" xmlns:vt="http://schemas.openxmlformats.org/officeDocument/2006/docPropsVTypes"/>
</file>