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(Izziņa-iesūtītie iebildumi ārpus TAP)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iebildums attiecībā uz anotācijas papildināšanu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likumprojekta 4. pants paredz papildināt 31. pantu ar 3.</w:t>
            </w:r>
            <w:r w:rsidR="00000000" w:rsidRPr="00000000" w:rsidDel="00000000">
              <w:rPr>
                <w:vertAlign w:val="superscript"/>
                <w:rtl w:val="0"/>
              </w:rPr>
              <w:t xml:space="preserve">1</w:t>
            </w:r>
            <w:r w:rsidR="00000000" w:rsidRPr="00000000" w:rsidDel="00000000">
              <w:rPr>
                <w:rtl w:val="0"/>
              </w:rPr>
              <w:t xml:space="preserve"> daļu, kas nosaka, ka elektronisko sakaru komersantam un nekustamā īpašuma īpašniekam vai tiesiskajam valdītājam ir tiesības vienoties, ka atlīdzība par īpašuma lietošanas tiesību aprobežojumu netiek piemērota. Atkārtoti lūdzam rūpīgi izvērtēt un anotācijā pamatot šāda regulējuma ietveršanu likumprojektā, ņemot vērā, ka ir iespējama situācija, kad, piemēram, maza nekustamā īpašuma īpašnieks vai tiesiskais valdītājs atrodas potenciāli nevienlīdzīgā stāvoklī attiecībā pret elektronisko sakaru komersantu un būs spiests piekrist elektronisko sakaru komersanta izteiktajam piedāvājumam nepiemērot  atlīdzību par īpašuma lietošanas tiesību aprobežojumu.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kā Pārejas noteikumu ir paredzēts iekļaut to, ka Ministru kabinets līdz 2027.gada 31.decembrim izdod Elektronisko sakaru likuma 31.panta ceturtajā daļā norādītos Ministru kabineta noteikumus, kuri paredzēs metodiku un kārtību, kādā aprēķinās un izmaksās atlīdzību par īpašuma lietošanas tiesību aprobežojumiem. Attiecīgi anotācijā pie Likumprojekta 4.pantā ietvertā 31.panta ceturtās daļas problēmsituācijas apraksta ir norādīts, ka “praksē visbiežāk tiek slēgti nomas līgumi, un nomas maksa tiek noteikta kā viena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skaidrot, kādā apmērā noteikumu projekts varētu skart noslēgtos līgumus (ne tikai attiecībā uz vienreizējo nomas maksu, bet arī citām tiesībām un pienākumiem). Proti, lūdzam izvērtēt normas atbilstību Civillikuma 3.pantam, kas paredz, “katra civiltiesiska attiecība apspriežama pēc likumiem, kas bijuši spēkā tad, kad šī attiecība radusies, pārgrozījusies vai izbeigusies. Neskartas paliek jau iegūtās tiesības.” Lūdzam izvērtēt, vai norma nepārkāpj tiesiskās paļāvības un drošības principu, kas aizsargā personas pret nepamatotu iejaukšanos jau pastāvošu tiesisko attiecību noregulēšanā.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iekļaut aprakstu par augstāk minētā Pārejas noteikuma būtību,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Rekomendējam anotācijā pie Satversmības izvērtējuma par 28.panta sestās daļas grozījumiem precīzāk norādīt to, ka minētais izvērtējums attiecas arī uz 28.panta devīto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27.03.2025.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