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685 "Prasības uztura bagātinātājiem"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Šajos noteikumos lietotais termins "uzņēmums" nozīmē par uztura bagātinātāja informāciju atbildīgo pārtikas apritē iesaistīto uzņēmēju atbilstoši Eiropas Parlamenta un Padomes 2011. gada 25. oktobra Regulā (ES) </w:t>
            </w:r>
            <w:r w:rsidR="00000000" w:rsidRPr="00000000" w:rsidDel="00000000">
              <w:rPr>
                <w:rtl w:val="0"/>
              </w:rPr>
              <w:t xml:space="preserve"> Nr. 1169/2011</w:t>
            </w:r>
            <w:r w:rsidR="00000000" w:rsidRPr="00000000" w:rsidDel="00000000">
              <w:rPr>
                <w:rtl w:val="0"/>
              </w:rPr>
              <w:t xml:space="preserve">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(turpmāk – regula Nr. 1169/2011) 8. panta 1.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4. punkta izteikšanu jaunā redakcijā aicinām anotācijā papildus skaidrot, kādēļ vienlaikus tiek svītrota 4. punktā paredzētā prasība uzņēmumam nodrošināt, ka attiecīgo uztura bagātinātāju tirdzniecības vietā ir informācija par produktiem, ko tas izplata. Aicinām skaidrot, vai attiecīgā prasība, ņemot vērā tās svītrošanu, ir ietverta kādā Eiropas Savienības regulas normā. Ja tā nav ietverta kādā Eiropas Savienības regulas normā, lūdzam pamatot tās svītrošanu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Uztura bagātinātāju ražošanā atļauts izmantot tikai tādus vitamīnus un minerālvielas un tādos veidos, kas ir noteikti šo noteikumu nodaļā "Informatīvās atsauces uz Eiropas Savienības direktīvām" 1. punktā minētajā direktīvā un ar to saistītajos tieši piemērojamos Eiropas Savienības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projektu, svītrojot no tā atsauces uz direktīvu, un pārņemot attiecīgās direktīvas prasības normatīvajā regulējumā. Papildus saistībā ar atsauci uz "ar to saistītajiem tieši piemērojamiem Eiropas Savienības normatīvajiem aktiem" no anotācijā ietvertā skaidrojuma, kā arī pašreiz spēkā esošās noteikumu 8. punkta redakcijas konstatējam, ka domāti ne tikai pēc būtības tieši piemērojamie Eiropas Savienības normatīvie akti, bet arī pēc būtības direktīvu normas (proti, regulu normas, kas groza direktīvas normas - sk., piemēram, bet ne tikai </w:t>
            </w:r>
            <w:r w:rsidR="00000000" w:rsidRPr="00000000" w:rsidDel="00000000">
              <w:rPr>
                <w:rtl w:val="0"/>
              </w:rPr>
              <w:t xml:space="preserve">Komisijas 2024. gada 16. janvāra Regulu (ES) 2024/248, ar ko attiecībā uz uztura bagātinātāju ražošanā izmantojamu dzelzs hidroksīda adipāta tartrātu </w:t>
            </w:r>
            <w:r w:rsidR="00000000" w:rsidRPr="00000000" w:rsidDel="00000000">
              <w:rPr>
                <w:u w:val="single"/>
                <w:rtl w:val="0"/>
              </w:rPr>
              <w:t xml:space="preserve">groza Eiropas Parlamenta un Padomes Direktīvas 2002/46/EK II 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šādos gadījumos, kad ar regulām tiek grozītas direktīvu normas, svarīgi ņemt vērā, ka </w:t>
            </w:r>
            <w:r w:rsidR="00000000" w:rsidRPr="00000000" w:rsidDel="00000000">
              <w:rPr>
                <w:u w:val="single"/>
                <w:rtl w:val="0"/>
              </w:rPr>
              <w:t xml:space="preserve">normas, kas skar direktīvas, ir jāpārņem nacionālajā tiesību sistēmā tādā pašā veidā, kā to dara direktīvu pārņemšanas gadījumos</w:t>
            </w:r>
            <w:r w:rsidR="00000000" w:rsidRPr="00000000" w:rsidDel="00000000">
              <w:rPr>
                <w:rtl w:val="0"/>
              </w:rPr>
              <w:t xml:space="preserve">. Jo, neskatoties uz to, ka konkrētās direktīvas normu grozījumi ir ietverti regulā, atšķirībā no pašas regulas normām tie nav tieši piemērojami (vairāk skat. Tieslietu ministrijas 2014. gada Eiropas Savienības tiesību ieviešanas rokasgrāmatas (turpmāk - rokasgrāmata) (pieejama: https://www.tm.gov.lv/lv/metodiskie-ieteikumi) 29.-30.lpp.). Proti, nozīme ir grozītajam tiesību aktam, nevis tam, ar kādu tiesību aktu normas tiek grozītas. Lai izvērtētu, kā pareizi pārņemt attiecīgo direktīvu, tostarp ar visiem tās grozījumiem, aicinām iepazīties ar rokasgrāmatas 2.7. apakšsadaļu par direktīvu pārņemšanu (34.-46.lpp.), tostarp par izņēmuma nosacījumiem, saskaņā ar kuriem pieļaujams normatīvā akta tekstā ietvert atsauces uz direktīvu normām (37.-41.lpp.).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atbilstoši precizēt projekta 2. un 8. punktu, kā arī papildināt projektu, ja tas nepieciešams direktīvas pilnīgas pārņemšanas nolūkā, un aizpildīt anotācijas 5.1. apakšsadaļu un 5.4. apakšsadaļas 1. tabulu ar informāciju par direktīvas normu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iesniegts paziņojums par tādu uztura bagātinātāju, kuram ir vienāds nosaukums, ražotājs, sastāvs, ieteicamā dienas (diennakts) deva, pagatavojuma veids un fasējuma vienības lielums (ar jau reģistrētu uztura bagātinātāju turpmāk – identisks uztura bagātinātājs), dienests 10 darbdienu laikā pēc šo noteikumu 9. un 9.</w:t>
            </w:r>
            <w:r w:rsidR="00000000" w:rsidRPr="00000000" w:rsidDel="00000000">
              <w:rPr>
                <w:vertAlign w:val="superscript"/>
                <w:rtl w:val="0"/>
              </w:rPr>
              <w:t xml:space="preserve">1</w:t>
            </w:r>
            <w:r w:rsidR="00000000" w:rsidRPr="00000000" w:rsidDel="00000000">
              <w:rPr>
                <w:rtl w:val="0"/>
              </w:rPr>
              <w:t xml:space="preserve"> punktā minēto dokumentu saņemšanas pieņem lēmumu par uztura bagātinātāja reģistrāciju dienesta uztura bagātinātāju reģistrā, izņemot šo noteikumu 15.</w:t>
            </w:r>
            <w:r w:rsidR="00000000" w:rsidRPr="00000000" w:rsidDel="00000000">
              <w:rPr>
                <w:vertAlign w:val="superscript"/>
                <w:rtl w:val="0"/>
              </w:rPr>
              <w:t xml:space="preserve">2</w:t>
            </w:r>
            <w:r w:rsidR="00000000" w:rsidRPr="00000000" w:rsidDel="00000000">
              <w:rPr>
                <w:rtl w:val="0"/>
              </w:rPr>
              <w:t xml:space="preserve">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punktā ietverto noteikumu 15.</w:t>
            </w:r>
            <w:r w:rsidR="00000000" w:rsidRPr="00000000" w:rsidDel="00000000">
              <w:rPr>
                <w:vertAlign w:val="superscript"/>
                <w:rtl w:val="0"/>
              </w:rPr>
              <w:t xml:space="preserve">1</w:t>
            </w:r>
            <w:r w:rsidR="00000000" w:rsidRPr="00000000" w:rsidDel="00000000">
              <w:rPr>
                <w:rtl w:val="0"/>
              </w:rPr>
              <w:t xml:space="preserve"> punktu, paredzot, ka lēmums tiek pieņemts 10 darbdienu laikā pēc noteikumu 9. punktā minētā paziņojuma saņemšanas dienas. Vēršam uzmanību uz to, ka Administratīvā procesa likuma 64. panta pirmā daļa pieļauj Ministru kabineta noteikumos noteikt īsāku administratīvā akta izdošanas termiņu, nekā vispārīgais administratīvā akta izdošanas termiņš viens mēnesis. Ja termiņš lēmuma pieņemšanai tiktu skaitīts no visu noteikumu 9. un 9.</w:t>
            </w:r>
            <w:r w:rsidR="00000000" w:rsidRPr="00000000" w:rsidDel="00000000">
              <w:rPr>
                <w:vertAlign w:val="superscript"/>
                <w:rtl w:val="0"/>
              </w:rPr>
              <w:t xml:space="preserve">1</w:t>
            </w:r>
            <w:r w:rsidR="00000000" w:rsidRPr="00000000" w:rsidDel="00000000">
              <w:rPr>
                <w:rtl w:val="0"/>
              </w:rPr>
              <w:t xml:space="preserve"> punktā minēto dokumentu saņemšanas dienas, lēmuma pieņemšanas termiņš kopumā varētu pārsniegt arī Administratīvā procesa likuma 64. panta pirmajā daļā paredzēto viena mēneša termiņu. Tādējādi nepieciešams skaidri noteikt, ka projektā paredzētais 10 darbdienu termiņš tiek skaitīts no paziņojuma saņemšanas dienas, nevis no dokumentu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apsvērt iespēju attiecīgi precizēt noteikumu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uztura bagātinātāju reģistrā iekļautais uztura bagātinātājs vairs netiek laists tirgū, uzņēmums par to informē dienestu ar rakstveida iesniegumu un dienests uztura bagātinātāju svītro no uztura bagātinātāju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punktā ietverto noteikumu 20. punktu, ņemot vērā to, ka Pārtikas aprites uzraudzības likuma 4. panta 10.</w:t>
            </w:r>
            <w:r w:rsidR="00000000" w:rsidRPr="00000000" w:rsidDel="00000000">
              <w:rPr>
                <w:vertAlign w:val="superscript"/>
                <w:rtl w:val="0"/>
              </w:rPr>
              <w:t xml:space="preserve">1</w:t>
            </w:r>
            <w:r w:rsidR="00000000" w:rsidRPr="00000000" w:rsidDel="00000000">
              <w:rPr>
                <w:rtl w:val="0"/>
              </w:rPr>
              <w:t xml:space="preserve"> daļas 2. punkts pilnvaro Ministru kabinetu noteikt kārtību, kādā reģistrē uztura bagātinātājus, aptur vai ierobežo to apriti un anulē reģistrāciju, nevis svītro no uztura bagātinātāju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apakšsadaļā pārskatīt un precizēt atsauces uz noteikumu projekta vienībām, jo tās vairākās vietās norādītas nepareizi (sk., piemēram, atsauces uz noteikumu projekta 14. un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9.3.4. kontaktpersonu, tālruņa numuru,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projektu precizēt, nosakot, kāda tieši informācija ir norādāma par kontaktpersonu, piemēram, vārds, uzvārds.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izdarītās izmaiņas uztura bagātinātāja nosaukumā, ražotāja nosaukumā, ražotāja adresē, uzņēmuma nosaukumā, uzņēmuma adresē, attiecībā uz valsti, kurā ražots uztura bagātinātājs, pagatavojuma veidā, fasējuma vienības lielumā, iepakojuma vienības lielumā, ieteicamajā dienas (diennakts) devā, sastāvdaļās, sastāvdaļu daudzumā, sastāvdaļu mērvienībā vai marķējumā;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izvertēt, vai no noteikumu 13.1.2. apakšpunkta redakcijas privātpersonām būs nepārprotami skaidrs, ka izdarītās izmaiņas "attiecībā uz valsti, kurā ražots uztura bagātinātājs" ir nevis piebilde izmaiņām "uzņēmuma adresē", bet atsevišķs izmaiņu pamats (kā anotācijā minēts: "</w:t>
            </w:r>
            <w:r w:rsidR="00000000" w:rsidRPr="00000000" w:rsidDel="00000000">
              <w:rPr>
                <w:i w:val="1"/>
                <w:rtl w:val="0"/>
              </w:rPr>
              <w:t xml:space="preserve">jāprecizē 13.1.2. apakšpunkts, papildinot prasību par informāciju, kas jānorāda paziņojumā par reģistrēta uztura bagātinātāja izmaiņām, t. i., </w:t>
            </w:r>
            <w:r w:rsidR="00000000" w:rsidRPr="00000000" w:rsidDel="00000000">
              <w:rPr>
                <w:i w:val="1"/>
                <w:u w:val="single"/>
                <w:rtl w:val="0"/>
              </w:rPr>
              <w:t xml:space="preserve">valsti, kurā ražots uztura bagātinātājs, ja tā nav ražotāja atrašanās vietas valsts</w:t>
            </w:r>
            <w:r w:rsidR="00000000" w:rsidRPr="00000000" w:rsidDel="00000000">
              <w:rPr>
                <w:rtl w:val="0"/>
              </w:rPr>
              <w:t xml:space="preserve">"). Ja nepieciešams, aicinām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13.2.4. kontaktpersonu, tālruņa numuru,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projektu precizēt, nosakot, kāda tieši informācija ir norādāma par kontaktpersonu, piemēram, vārds, uzvārds.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iesniegts paziņojums par tādu uztura bagātinātāju, kuram ir vienāds nosaukums, ražotājs, sastāvs, ieteicamā dienas (diennakts) deva, pagatavojuma veids un fasējuma vienības lielums (ar jau reģistrētu uztura bagātinātāju turpmāk – identisks uztura bagātinātājs), dienests 10 darbdienu laikā pēc šo noteikumu 9. un 9.</w:t>
            </w:r>
            <w:r w:rsidR="00000000" w:rsidRPr="00000000" w:rsidDel="00000000">
              <w:rPr>
                <w:vertAlign w:val="superscript"/>
                <w:rtl w:val="0"/>
              </w:rPr>
              <w:t xml:space="preserve">1</w:t>
            </w:r>
            <w:r w:rsidR="00000000" w:rsidRPr="00000000" w:rsidDel="00000000">
              <w:rPr>
                <w:rtl w:val="0"/>
              </w:rPr>
              <w:t xml:space="preserve"> punktā minēto dokumentu saņemšanas pieņem lēmumu par uztura bagātinātāja reģistrāciju dienesta uztura bagātinātāju reģistrā, izņemot šo noteikumu 15.</w:t>
            </w:r>
            <w:r w:rsidR="00000000" w:rsidRPr="00000000" w:rsidDel="00000000">
              <w:rPr>
                <w:vertAlign w:val="superscript"/>
                <w:rtl w:val="0"/>
              </w:rPr>
              <w:t xml:space="preserve">2</w:t>
            </w:r>
            <w:r w:rsidR="00000000" w:rsidRPr="00000000" w:rsidDel="00000000">
              <w:rPr>
                <w:rtl w:val="0"/>
              </w:rPr>
              <w:t xml:space="preserve">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pārrakstīšanās kļūdu saīsinājuma izveidē, pārvietojot iekavu (proti, "(turpmāk - identisks uztura bagātinātājs)").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apstrādā fiziskās personas datus – vārdu, uzvārdu, personas kodu, deklarētās dzīvesvietas adresi, faktisko adresi, tālruņa numuru, elektroniskā pasta adresi, lai identificētu uzņēmumu, reģistrētu uztura bagātinātāju, izdarītu izmaiņas reģistrā un sazinātos ar uzņēmumu. Ja uztura bagātinātāja reģistrācija ir atteikta, fiziskās personas datus pēc šo noteikumu 9. punktā minētā paziņojuma saņemšanas uzglabā piecus gadus. Ja uztura bagātinātājs ir reģistrēts, fiziskās personas datus uzglabā piecus gadus pēc uztura bagātinātāja svītrošanas no uztura bagātinātāja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6. panta 3. punktā noteiktās prasības par to, kādi noteikumi būtu ietverami normatīvajos aktos, lai pielāgotu šīs regulas noteikumu piemērošanu, lūdzam papildināt projektu, norādot, par kādu kategoriju datu subjektiem plānots apstrādāt personas datus projekta ietvaros, piemēram, dienests apstrādā paziņojuma iesniedzēja un uzņēmuma pilnvarotās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apstrādā fiziskās personas datus – vārdu, uzvārdu, personas kodu, deklarētās dzīvesvietas adresi, faktisko adresi, tālruņa numuru, elektroniskā pasta adresi, lai identificētu uzņēmumu, reģistrētu uztura bagātinātāju, izdarītu izmaiņas reģistrā un sazinātos ar uzņēmumu. Ja uztura bagātinātāja reģistrācija ir atteikta, fiziskās personas datus pēc šo noteikumu 9. punktā minētā paziņojuma saņemšanas uzglabā piecus gadus. Ja uztura bagātinātājs ir reģistrēts, fiziskās personas datus uzglabā piecus gadus pēc uztura bagātinātāja svītrošanas no uztura bagātinātāja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attiecīgu skaidrojumu, kas pamatotu izvēlēto datu glabāšanas termiņu par fiziskajām personām, atbilstoši Vispārīgajā datu aizsardzības regulā noteiktajam personas datu glabāšanas ierobežojumam principam. Vēršam uzmanību, ka anotācijā nav sniegts skaidrojums nepieciešamībai uzglabāt informāciju par fiziskajām personām piecus gadus, ja uztura bagātinātāja reģistrācija ir atteikta pēc šo noteikumu 9. punktā minētā paziņojuma saņemšanas, un ja uztura bagātinātājs ir reģistrēts - piecus gadus pēc uztura bagātinātāja svītrošanas no uztura bagātinātāja objektu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23-TA-3244</w:t>
    </w:r>
    <w:r>
      <w:br/>
    </w:r>
    <w:r w:rsidR="00000000" w:rsidRPr="00000000" w:rsidDel="00000000">
      <w:rPr>
        <w:rtl w:val="0"/>
      </w:rPr>
      <w:t xml:space="preserve">Izdrukāts 13.11.2025.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23-TA-3244</w:t>
    </w:r>
    <w:r>
      <w:br/>
    </w:r>
    <w:r w:rsidR="00000000" w:rsidRPr="00000000" w:rsidDel="00000000">
      <w:rPr>
        <w:rtl w:val="0"/>
      </w:rPr>
      <w:t xml:space="preserve">Izdrukāts 13.11.2025.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Atzinumi_23-TA-3244.docx</dc:title>
</cp:coreProperties>
</file>

<file path=docProps/custom.xml><?xml version="1.0" encoding="utf-8"?>
<Properties xmlns="http://schemas.openxmlformats.org/officeDocument/2006/custom-properties" xmlns:vt="http://schemas.openxmlformats.org/officeDocument/2006/docPropsVTypes"/>
</file>