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sadaļu "Pašreizējā situācija", lai tajā neatkārtotu tiesību akta projekta izstrādes pamatojuma aprakstā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izvērtēt vārda "neveiksmīgs" lietojumu, jo attiecināmajos normatīvajos aktos termini "atalgojums" un "atlīdzība" ir skaidri definēti.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atsauci uz Ministru kabineta 2005. gada 27. decembra noteikumiem Nr.1031 "Noteikumi par budžetu izdevumu klasifikāciju atbilstoši ekonomiskajām kategorijām" (turpmāk - noteikumi Nr.1031). Noteikumi Nr. 1031 ir izdoti saskaņā ar Likumu par budžetu un finanšu vadību un nosaka budžetu izdevumu klasifikāciju atbilstoši ekonomiskajām kategorijām, kuru piemēro normatīvajos aktos budžeta un finanšu vadības jomā noteikto budžetu plānošanā, uzskaitē (atbilstoši naudas plūsmas un uzkrājuma principam) un pārskatu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kādi apvienojas izdevumu kategorijās "atalgojums" un "atlīdzība" noteikumu Nr. 1031 pielikumā ir noteikti nepārprotami.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punktā aizstāt vārdus "politiskās iniciatīvas" ar vārdiem "politikas iniciatīvas".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26.07.2024.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26.07.2024.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