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juristu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Finanšu instrumentu tirgus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“Latvijas Juristu apvienība” ir iepazinusies ar Finanšu ministrijas virzīto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likumprojektu pakotni, kas paredz patērētāju kreditēšanas nozares uzraudzības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funkciju nodošanu Latvijas Bankai, un vēlas paust iebildumus pret piedāvāto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modeļa maiņu.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Pirmkārt, uzsveram, ka piedāvātā reforma nav uzskatāma par tehnisku funkciju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pārdali, bet gan par būtisku institucionālu pārveidi ar plašu ietekmi uz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sektora uzraudzības sistēmu, patērētāju tiesību aizsardzību un uzņēmējdarbības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vidi kopumā. Tomēr likumprojektu anotācijās nav nodrošināts pilnvērtīgs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sākotnējais ietekmes izvērtējums. Nav analizēta reformas ietekme uz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intensitāti, administratīvo slogu, datu pieprasījumu apjomu un tirgus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dalībnieku izmaksām, kā arī nav sniegts pietiekams izvērtējums par Latvijas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Bankas institucionālo kapacitāti pārņemt patērētāju tiesību aizsardzības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funkcijas.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Otrkārt, nav izvērtēti alternatīvi risinājumi. Nav analizēta iespēja pilnveidot esošo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modeli, stiprinot institucionālo sadarbību vai precizējot funkciju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sadalījumu starp iesaistītajām iestādēm. Līdz ar to nav pierādīts, ka izvēlētais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centralizācijas modelis ir samērīgākais un efektīvākais risinājums.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Treškārt, pastāv būtiski riski attiecībā uz regulējuma piemērošanas skaidrību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prognozējamību. Nav pietiekami definēti turpmākās uzraudzības pieejas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pamatprincipi, sankciju piemērošanas kritēriji un līdzšinējās interpretācijas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prakses pēctecība. Tas var radīt nevienveidīgu normu piemērošanu un palielināt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administratīvo slogu tirgus dalībniekiem.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Īpaši uzsverams, ka patērētāju tiesību aizsardzības funkcija pēc būtības atšķiras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prudenciālās uzraudzības. Līdzšinējā pieeja balstīta uz patērētāju uzvedības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 faktiskās ietekmes izvērtējumu, savukārt centrālās bankas modelis primāri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orientēts uz finanšu stabilitāti un formālu atbilstību. Šāda pieeju transformācija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 radīt nesamērīgu regulatīvo iejaukšanos un nepietiekamu uzmanību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faktiskajām interesēm.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vēršam uzmanību uz Eiropas Savienības tiesisko regulējumu.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Gadījumos, kad patērētāju tiesību aizsardzības funkcija tiek integrēta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regulatorā, tas parasti tiek īstenots, izveidojot skaidri nodalītu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struktūru ar atsevišķu mandātu. Šāds modelis būtiski atšķiras no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klasiskā centrālās bankas darbības ietvara. Likumprojektu anotācijās šāda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institucionāla transformācija nav pietiekami izvērtēta.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Tāpat nav pietiekami analizēta piedāvātā modeļa atbilstība Regulai (ES)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2017/2394, īpaši attiecībā uz kompetentās iestādes spēju nodrošināt efektīvu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kolektīvo patērētāju interešu aizsardzību un pilnvērtīgu dalību CPC sadarbības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mehānismos. Formāla funkciju nodošana Latvijas Bankai pati par sevi negarantē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šīs regulas mērķu sasniegšanu, ņemot vērā tās institucionālo mandātu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pieeju. No likumprojektiem nav skaidrs, vai CPC regulā konkrēti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identificētas pilnvaras, kas ir obligātas kompetentajai iestādei (piemēram,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tiesības veikt slēptās pirkumu pārbaudes, pieprasīt datu izpaušanu, piemērot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sankcijas), visas pilnā apjomā tiek piešķirtas Latvijas Bankai.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jāņem vērā arī Direktīvas (ES) 2023/2225 (CCD II) prasības, kas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paredz augstu patērētāju aizsardzības līmeni kreditēšanas jomā un efektīvu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mehānismu nodrošināšanu. Lai nodrošinātu direktīvas mērķu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sasniegšanu, ir būtiski, lai kompetentā iestāde būtu ne tikai formāli noteikta, bet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arī funkcionāli piemērota patērētāju tiesību aizsardzības īstenošanai. Tāpat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jāņem vērā CCD II un uzraudzības reformas laika neatbilstība - direktīva pilnā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apmērā piemērojama no 2026. gada novembra, taču reforma stājas spēkā 2027.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gada janvārī, kas rada iespējamu regulatīvu vakuumu.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Visbeidzot, uzsveram, ka regulējuma prognozējamība ir būtisks priekšnoteikums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stabilai uzņēmējdarbības videi. Nepietiekami pamatota institucionāla reforma var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palielināt regulatīvo nenoteiktību, negatīvi ietekmēt investīciju vidi un ierobežot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konkurenci un inovāciju finanšu sektorā.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aicinām pirms turpmākas likumprojektu pakotnes virzības: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nodrošināt pilnvērtīgu ietekmes izvērtējumu;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veikt alternatīvu risinājumu analīzi;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izvērtēt atbilstību Eiropas Savienības regulējumam, īpaši Regulai (ES)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2017/2394 un Direktīvai (ES) 2023/2225.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Bunka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07.05.2026.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07.05.2026.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