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24-TA-541: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4.2.1.8. pasākuma "Augstskolu studiju vides modernizācija" pirmās un otrās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Pasākuma otrās kārtas finansējuma saņēmēji īsteno projektus, kuriem atbalsts nekvalificējas kā komercdarbības atbalsts.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komunikāciju ar Eiropas Komisiju (EK), kur EK norāda, ka atbalsta lokālā ietekme ir jāvērtē katrai augstskolai individuāli (IZM par šo ir informēta ar vēstuli 09.12.2022. 7-4/18/3645), lūdzam papildināt noteikumu projektu ar kritērijiem, pēc kādiem uz atbalsta piešķiršanas brīdi tiks vērtēta katra noteikumu projekta 28.punktā minētā augstākās izglītības iestāde, lai secinātu, ka atbalsts konkrētai augstākās izglītības iestādei nekvalificējas kā komercdarbības atbalsts. Šāda pieeja būtu tikai loģiska arī tāpēc, ka noteikumu projekta 1.kārtā arī kritēriji par to, kā izvērtēt atbalsta saņēmēju, ir ietverti noteikumu projektā un tiek vērtēti uz piešķiršanas brīdi.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Jūs izvērtēt, vai visos gadījumos atbalsts otrajā kārtā konkrētai augstākās izglītības iestādei kvalificēsies kā atbalsts saimnieciskai darbībai, lai automātiski analīzi veiktu tikai par Komercdarbības atbalsta kontroles likuma 5.pantā minēto pazīmju vienlaicīgu izpildi (atbilstoši anotācijā šobrīd skaidrotajam fokusējoties tikai uz pazīmes par </w:t>
            </w:r>
            <w:r w:rsidR="00000000" w:rsidRPr="00000000" w:rsidDel="00000000">
              <w:rPr>
                <w:rtl w:val="0"/>
              </w:rPr>
              <w:t xml:space="preserve">ietekmi uz tirdzniecību un konkurenci ES iekšējā tirgū izslēgšanu), un vai nebūtu jāparedz arī izvērtēšana par to, vai vispār atbalsts kvalificējas kā atbalsts saimnieciskai darbībai (vērtējot 50% ieņēmumu proporciju pret izdevumiem).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Sadarbības iestāde saskaņā ar atbildīgās iestādes izstrādāto papildinošas saimnieciskās darbības uzraudzības metodiku nodrošina veikto investīciju atbilstības uzraudzību visā projekta dzīves ciklā. Pasākuma pirmās un otrās kārtas finansējuma saņēmēji visā projekta dzīves ciklā ik gadu sagatavo pārskatu par papildinošas saimnieciskās darbības apjomu un nodrošina šajā punktā minēto pārskatu un aprēķinus pamatojošo dokumentu pieejamību papildinošas saimnieciskās darbības uzraudzībai. Ja finansējuma saņēmējs konstatē, ka ir pārsniegts 20 procentu ierobežojums no infrastruktūras gada jaudas platības, laika vai finanšu izteiksmē vai ka veiktās investīcijas tiek izmantotas citai saimnieciskai darbībai, kas nav uzskatāma par papildinošu saimniecisku darbību, tad saskaņā ar vienošanos vai līgumu par projekta īstenošanu noteiktajā termiņā iesniedz sadarbības iestādē ziņojumu par konstatēto pārkāpumu.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47.punkts nosaka, ka "Pasākuma otrās kārtas finansējuma saņēmēji īsteno projektus, kuriem atbalsts nekvalificējas kā komercdarbības atbalsts.", vienlaikus anotācijā sniedzot informāciju, kādēļ neizpildītos Komercdarbības atbalsta likuma 5.pantā minētā viena no pazīmēm par ietekmi uz konkurenci un tirdzniecību ES iekšējā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lai atbalsts infrastruktūrai netiktu kvalificēts kā atbalsts saimnieciskai darbībai, pieļaujot papildinošo saimniecisko darbību un papildpakalpojumu veikšanu, pašai infrastruktūrai ir jābūt nesaimnieciski izmantojamai. Uz saimnieciski izmantojamu infrastruktūru papildinoša saimnieciska darbība vai parasto papildpakalpojumu veikšana neattiecas. Attiecīgi, lai novērstu pretrunu, lūdzam no noteikumu projekta dzēst vai precizēt 62.punktu un no anotācijas dzēst visu informāciju par pasākuma otrās kārtas ietvaros pieļaujamo papildinošas saimnieciskās darbības veikšanu (ņemot vērā, ka uz otro kārtu šobrīd atbalsta programmas autors plāno, ka tiek vērtēta viena no komercdarbības atbalsta pazīmēm par ietekmi uz konkurenci un tirdzniecību ES iekšējā tirgū, nevis vispirms tas, vai atbalsta kvalificējams kā atbalsts saimnieciskai darbībai).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 rezultāta rādītājs – jauno vai modernizēto izglītības iestāžu lietotāju skaits gadā – vismaz 235 studējošie;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ka 18.1.un 18.2.apakšpunktos norādītie rādītāji ir Eiropas Savienības kohēzijas politikas programma 2021.–2027.gadam rādītāji, lūdzam izvērtēt, vai rādītāja sasniegšanas termiņš nebūtu atbilstoši norādāms 2029.gada 30.jūnijs (saskaņā ar 12.punktā noteikto).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Pasākuma pirmās kārtas ietvaros ir atbalstāmas šādas darbības: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noteikumu projekta 19. un 21. punktu, norādot, ka būvprojekta izmaiņu izstrādes izmaksas ir Pasākuma pirmās kārtas ietvaros atbalstāmā darbība, attiecīgi precizējot anotācijā norādīto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turpinot projekta īstenošanu izbūvēto ēku ietvaros otrajā projekta posmā tiek īstenoti telpu aprīkošanas un pielāgošanas darbi, piemēram, izbūvēto inženiertīklu iekārtu uzstādīšana, tai skaitā apgaismojumu, ventilācijas un kondicionēšanas sistēmu iekārtas, piekļuves kontroles sistēmu, apsardzes sistēmu, telefonu un datoru tīklu iekārtas, iebūvējamo mēbeļu uzstādīšana u.c. iekšdarbi pilnīgai projekta pabeigšanai, kā arī tiek nodrošināta interjera projekta īstenošana (interjera projekta izstrāde, mēbeļu un interjera elementu iegāde).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paskaidrojam, ka īstenojot starpdisciplinārā izglītības, kultūras un radošo industriju atbalsta centra "TabFab" izveides otro posmu (t.i. Projekta pirmā posmā izbūvēto ēku telpu aprīkošanu un pielāgošanas darbus), ir nepieciešams veikt izmaiņas Projekta pirmajā posmā izstrādātajā būvprojektā.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Šo noteikumu </w:t>
            </w:r>
            <w:r w:rsidR="00000000" w:rsidRPr="00000000" w:rsidDel="00000000">
              <w:rPr>
                <w:rtl w:val="0"/>
              </w:rPr>
              <w:t xml:space="preserve">20.1. </w:t>
            </w:r>
            <w:r w:rsidR="00000000" w:rsidRPr="00000000" w:rsidDel="00000000">
              <w:rPr>
                <w:rtl w:val="0"/>
              </w:rPr>
              <w:t xml:space="preserve">apakšpunktā</w:t>
            </w:r>
            <w:r w:rsidR="00000000" w:rsidRPr="00000000" w:rsidDel="00000000">
              <w:rPr>
                <w:rtl w:val="0"/>
              </w:rPr>
              <w:t xml:space="preserve"> minētās tiešās attiecināmās izmaksas ietver šādas izmaksu pozīcijas: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noteikumu projekta  21. punktu, norādot, ka būvprojekta izmaiņu izstrādes izmaksas ir Pasākuma pirmās kārtas ietvaros atbalstāmā darbība, attiecīgi precizējot anotācijā norādīto informāciju. Pamatojumu lūgums skatīt pie izteiktā priekšlikuma pie 19.punkta.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Šo noteikumu </w:t>
            </w:r>
            <w:r w:rsidR="00000000" w:rsidRPr="00000000" w:rsidDel="00000000">
              <w:rPr>
                <w:rtl w:val="0"/>
              </w:rPr>
              <w:t xml:space="preserve">20.1. </w:t>
            </w:r>
            <w:r w:rsidR="00000000" w:rsidRPr="00000000" w:rsidDel="00000000">
              <w:rPr>
                <w:rtl w:val="0"/>
              </w:rPr>
              <w:t xml:space="preserve">apakšpunktā</w:t>
            </w:r>
            <w:r w:rsidR="00000000" w:rsidRPr="00000000" w:rsidDel="00000000">
              <w:rPr>
                <w:rtl w:val="0"/>
              </w:rPr>
              <w:t xml:space="preserve"> minētās tiešās attiecināmās izmaksas ietver šādas izmaksu pozīcijas: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nav nepieciešams arī noteikumu projekta pirmās kārtas attiecināmās izmaksās papildināt ar izmaksām komunikācijas un vizuālās identitātes prasību nodrošināšanas pasākumiem par projekta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Agate Streipa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projekta 5.6.1. otrā posma būvdarbu veikšanas, autoruzraudzības un būvuzraudzības nodrošināšanas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Vadošās iestādes vadlīniju Nr.1.2. "Vadlīnijas attiecināmo izmaksu noteikšanai Eiropas Savienības kohēzijas politikas programmas 2021.-2027.gada plānošanas periodā" 10.2.apakšpunktā noteikts šādi: "Projekta iesnieguma pamatojošās dokumentācijas sagatavošanas izmaksas, būvuzraudzības, autoruzraudzības, būvprojekta tehniskā projekta vai skiču projekta stadijā izmaksas, energosertifikācijas un energoaudita izmaksas kopā ir attiecināmas līdz 10% no projekta kopējām attiecināmajām izmaksām, ja tas ir noteikts Ministru kabineta noteikumos par specifiskā atbalsta mērķa īstenošanu (t.sk. veicot grozījumus)".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paredzēt 10% ierobežojumu līdzīgi kā tas ir noteikts noteikumu projekta 41.2.3.3.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Attiecībā uz projekta vadības personāla izmaksu apmēru ievēro šādus ierobežojumus: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paredzēt līdzvērtīgu pieeju kā tas ir noteikts noteikumu projekta 42.1. apakšpunktā, ka finansējuma saņēmējs nodrošina, ka projekta vadības personāls uz darba līguma pamata ir nodarbināts projektā normālo darba laiku vai nepilnu darba laiku ne mazāk kā 30 procentu apmērā no normālā darba laika, attiecīgi veicot darba laika uzskaiti par veiktajām funkcijām un nostrādāto laiku. Ja personāla iesaiste projektā ir nodrošināta saskaņā ar daļlaika attiecināmības principu, attiecināma ir ne mazāka kā 30 procentu noslodze.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minētajiem finansējuma saņēmējiem avansa un starpposma maksājumu kopsumma var būt 100 procenti no projektam piešķirtā Eiropas Reģionālās attīstības fonda finansējuma un valsts budžeta līdzfinansējuma kopsummas.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anotāciju ar informāciju, ka noteikumu projekta 13. punktā noteiktajam finansējuma saņēmējam nepieciešamais finansējums 1 728 897,36 </w:t>
            </w:r>
            <w:r w:rsidR="00000000" w:rsidRPr="00000000" w:rsidDel="00000000">
              <w:rPr>
                <w:i w:val="1"/>
                <w:rtl w:val="0"/>
              </w:rPr>
              <w:t xml:space="preserve">euro</w:t>
            </w:r>
            <w:r w:rsidR="00000000" w:rsidRPr="00000000" w:rsidDel="00000000">
              <w:rPr>
                <w:rtl w:val="0"/>
              </w:rPr>
              <w:t xml:space="preserve"> apmērā jau tika izmaksāts no 74. resora "Gadskārtējā valsts budžeta izpildes procesā pārdalāmais finansējums" programmas 80.00.00 "Nesadalītais finansējums Eiropas Savienības politiku instrumentu un pārējās ārvalstu finanšu palīdzības līdzfinansēto projektu un pasākumu īstenošanai", pamatojoties uz Ministru kabineta 2023. gada 5. decembra sēdes protokollēmuma Nr. 60 54. § pamata. Ņemot vērā iepriekšminēto, lūdzam izvērtēt iespēju svītrot noteikumu projekta 25.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Pasākuma pirmās kārtas ietvaros projektu īsteno saskaņā ar noslēgto līgumu par projekta īstenošanu, bet ne vēlāk kā līdz 2024. gada 31. oktobrim.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2023. gada 5. decembra sēdes Nr. 60, 54. § protokollēmuma (turpmāk – protokollēmums) 4. punkts, 5.1. apakšpunkts un 6. punkts nosaka, ka Pasākuma pirmās kārtas projekts tiks īstenotas divos Eiropas Savienības struktūrfondu un Kohēzijas fonda plānošanas periodos.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2016. gada 29. marta noteikumu Nr. 188 "Darbības programmas "Izaugsme un nodarbinātība" 5.6.1. specifiskā atbalsta mērķa "Veicināt Rīgas pilsētas revitalizāciju, nodrošinot teritorijas efektīvu sociālekonomisko izmantošanu" 55.2.apakšpunktā un 59.punktā noteiktajam, īstenojot projektu divos Eiropas Savienības struktūrfondu un Kohēzijas fonda plānošanas periodos, projekta aktivitātes un iznākuma rādītāji jāsasniedz pēc 2023. gada 31. decembra līdz 2026. gada 31. oktobrim.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augstāk minēto, lūdzam precizēt noteikumu projekta 26. punktu, norādot, ka pasākuma pirmās kārtas ietvaros projektu īsteno saskaņā ar noslēgto līgumu par projekta īstenošanu, bet ne vēlāk kā līdz 2026. gada 31. oktobrim, attiecīgi precizējot anotācijā norādīto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pirmās kārtas ietvaros projektu īsteno saskaņā ar noslēgto līgumu par projekta īstenošanu, bet ne vēlāk kā līdz 2026. gada 31. oktobrim.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38.1. iznākuma rādītājs – jaunu vai modernizētu augstākās izglītības iestāžu klašu telpu ietilpība  – vismaz 6354 studējošie;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38.1.apakšpunktā vārdu "augstākās", lai nodrošinātu atbilstību Eiropas Savienības kohēzijas programmā 2021.-2027.gadam lietotajai kopējā iznākuma rādītāja RCO67 definīcijai "Jaunu vai modernizēto izglītības iestāžu klašu telpu ietilpība".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38.1. iznākuma rādītājs – jaunu vai modernizētu izglītības iestāžu klašu telpu ietilpība  – vismaz 6354 studējošie;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38.2. rezultāta rādītājs – jauno vai modernizēto augstākās izglītības iestāžu lietotāju skaits gadā – vismaz 8765 studējošie, tai skaitā: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38.2.apakšpunktā vārdu "augstākās", lai nodrošinātu atbilstību Eiropas Savienības kohēzijas programmā 2021.-2027.gadam lietotajai kopējā rezultāta rādītāja RCR71 definīcijai "Jauno vai modernizēto izglītības iestāžu lietotāju skaits 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38.2. rezultāta rādītājs – jauno vai modernizēto izglītības iestāžu lietotāju skaits gadā – vismaz 8765 studējošie, tai skaitā: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2.pielikuma datnes nosaukumu, ņemot vērā, ka 2.pielikumā ietverti dati par absolventiem, nevis finansējuma sadalījumu starp potenciālajiem finansējuma saņēmējiem.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1.pielikumā iznākuma un rezultāta rādītāju sadalījumu atlases otrās kārtas projektu iesniedzējiem atbilstoši noteikumu projekta 38.1. un 38.2.apakšpunktā minētajam. Lūdzam vienlaikus precizēt, kurš pielikumā ir rezultāta rādītājs un kurš - iznākuma rādītājs.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24-TA-541</w:t>
    </w:r>
    <w:r>
      <w:br/>
    </w:r>
    <w:r w:rsidR="00000000" w:rsidRPr="00000000" w:rsidDel="00000000">
      <w:rPr>
        <w:rtl w:val="0"/>
      </w:rPr>
      <w:t xml:space="preserve">Izdrukāts 16.08.2024. 14.47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24-TA-541</w:t>
    </w:r>
    <w:r>
      <w:br/>
    </w:r>
    <w:r w:rsidR="00000000" w:rsidRPr="00000000" w:rsidDel="00000000">
      <w:rPr>
        <w:rtl w:val="0"/>
      </w:rPr>
      <w:t xml:space="preserve">Izdrukāts 16.08.2024. 14.47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Atzinumi_24-TA-541.docx</dc:title>
</cp:coreProperties>
</file>

<file path=docProps/custom.xml><?xml version="1.0" encoding="utf-8"?>
<Properties xmlns="http://schemas.openxmlformats.org/officeDocument/2006/custom-properties" xmlns:vt="http://schemas.openxmlformats.org/officeDocument/2006/docPropsVTypes"/>
</file>