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kopējais plānotais finansējums ir 6 439 834 euro (t.sk. elastības finansējuma apjoms 1 015 725 euro), tai skaitā Eiropas Reģionālā attīstības fonda (turpmāk - ERAF) finansējums 5 473 858 euro (t.sk. elastības finansējuma apjoms 863 366 euro) un valsts budžeta finansējums 673 593 euro (t.sk. elastības finansējums 106 243 euro) un minimālais privātais līdzfinansējums 292 383 euro (t.sk. elastības finansējums 46 116 euro), kas sadalās kārtās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2023. gada 29. jūnija e-pasta vēstulē Nr. 5.1/25/21/36 iekļauto argumentāciju, kā arī to, ka valsts budžeta līdzekļi ir ierobežoti un ES fondu līdzfinansējumu var nodrošināt nacionālā līmenī arī no privātā līdzfinansējuma, skaidrojam, ka EM minētajā uzņēmumu atbalsta gadījumā kā nacionālais līdzfinansējums atbilstoši iepriekš indikatīvi iezīmētajam finanšu avotu sadalījumam un valsts budžeta faktiskajām iespējām būtu izmantojams šo uzņēmumu privātais līdzfinansējums, nevis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07.07.2023.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07.07.2023.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